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方正超大字符集" w:eastAsia="方正小标宋简体" w:cs="宋体-方正超大字符集"/>
          <w:b/>
          <w:bCs/>
          <w:sz w:val="44"/>
          <w:szCs w:val="44"/>
        </w:rPr>
      </w:pPr>
      <w:r>
        <w:rPr>
          <w:rFonts w:hint="eastAsia" w:ascii="方正小标宋简体" w:hAnsi="宋体-方正超大字符集" w:eastAsia="方正小标宋简体" w:cs="宋体-方正超大字符集"/>
          <w:b/>
          <w:bCs/>
          <w:sz w:val="44"/>
          <w:szCs w:val="44"/>
          <w:lang w:val="en-US" w:eastAsia="zh-CN"/>
        </w:rPr>
        <w:t>廊坊市</w:t>
      </w:r>
      <w:r>
        <w:rPr>
          <w:rFonts w:hint="eastAsia" w:ascii="方正小标宋简体" w:hAnsi="宋体-方正超大字符集" w:eastAsia="方正小标宋简体" w:cs="宋体-方正超大字符集"/>
          <w:b/>
          <w:bCs/>
          <w:sz w:val="44"/>
          <w:szCs w:val="44"/>
        </w:rPr>
        <w:t>大厂回族自治县人民武装部</w:t>
      </w:r>
    </w:p>
    <w:p>
      <w:pPr>
        <w:jc w:val="center"/>
        <w:rPr>
          <w:rFonts w:hint="eastAsia" w:ascii="方正小标宋简体" w:hAnsi="宋体-方正超大字符集" w:eastAsia="方正小标宋简体" w:cs="宋体-方正超大字符集"/>
          <w:b/>
          <w:bCs/>
          <w:sz w:val="44"/>
          <w:szCs w:val="44"/>
        </w:rPr>
      </w:pPr>
      <w:r>
        <w:rPr>
          <w:rFonts w:hint="eastAsia" w:ascii="方正小标宋简体" w:hAnsi="宋体-方正超大字符集" w:eastAsia="方正小标宋简体" w:cs="宋体-方正超大字符集"/>
          <w:b/>
          <w:bCs/>
          <w:sz w:val="44"/>
          <w:szCs w:val="44"/>
        </w:rPr>
        <w:t>2017年部门预算信息公开</w:t>
      </w: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按照《预算法》、《地方预决算公开操作规程》和《河北省省级预算公开办法》规定，现将中国人民解放军河北省大厂回族自治县人民武装部</w:t>
      </w:r>
      <w:r>
        <w:rPr>
          <w:rFonts w:ascii="仿宋" w:hAnsi="仿宋" w:eastAsia="仿宋"/>
          <w:sz w:val="32"/>
          <w:szCs w:val="32"/>
        </w:rPr>
        <w:t>2017</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widowControl/>
        <w:spacing w:line="500" w:lineRule="exact"/>
        <w:ind w:firstLine="643" w:firstLineChars="200"/>
        <w:jc w:val="left"/>
        <w:rPr>
          <w:rFonts w:ascii="Times New Roman" w:hAnsi="Times New Roman" w:eastAsia="方正仿宋_GBK"/>
          <w:b/>
          <w:sz w:val="32"/>
          <w:szCs w:val="32"/>
        </w:rPr>
      </w:pPr>
      <w:r>
        <w:rPr>
          <w:rFonts w:hint="eastAsia" w:ascii="楷体" w:hAnsi="楷体" w:eastAsia="楷体"/>
          <w:b/>
          <w:sz w:val="32"/>
          <w:szCs w:val="32"/>
        </w:rPr>
        <w:t>部门职责</w:t>
      </w:r>
      <w:r>
        <w:rPr>
          <w:rFonts w:hint="eastAsia" w:ascii="Times New Roman" w:hAnsi="Times New Roman" w:eastAsia="方正仿宋_GBK"/>
          <w:b/>
          <w:sz w:val="32"/>
          <w:szCs w:val="32"/>
        </w:rPr>
        <w:t>：</w:t>
      </w:r>
    </w:p>
    <w:p>
      <w:pPr>
        <w:widowControl/>
        <w:spacing w:line="500" w:lineRule="exact"/>
        <w:ind w:firstLine="1120" w:firstLineChars="350"/>
        <w:jc w:val="left"/>
        <w:rPr>
          <w:rFonts w:ascii="仿宋" w:hAnsi="仿宋" w:eastAsia="仿宋" w:cs="宋体"/>
          <w:color w:val="484747"/>
          <w:kern w:val="0"/>
          <w:sz w:val="32"/>
          <w:szCs w:val="32"/>
        </w:rPr>
      </w:pPr>
      <w:r>
        <w:rPr>
          <w:rFonts w:ascii="仿宋" w:hAnsi="仿宋" w:eastAsia="仿宋" w:cs="宋体"/>
          <w:color w:val="484747"/>
          <w:kern w:val="0"/>
          <w:sz w:val="32"/>
          <w:szCs w:val="32"/>
        </w:rPr>
        <w:t>1</w:t>
      </w:r>
      <w:r>
        <w:rPr>
          <w:rFonts w:hint="eastAsia" w:ascii="仿宋" w:hAnsi="仿宋" w:eastAsia="仿宋" w:cs="宋体"/>
          <w:color w:val="484747"/>
          <w:kern w:val="0"/>
          <w:sz w:val="32"/>
          <w:szCs w:val="32"/>
        </w:rPr>
        <w:t>、负责民兵整组建设和武器装备的管理；</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2</w:t>
      </w:r>
      <w:r>
        <w:rPr>
          <w:rFonts w:hint="eastAsia" w:ascii="仿宋" w:hAnsi="仿宋" w:eastAsia="仿宋" w:cs="宋体"/>
          <w:color w:val="484747"/>
          <w:kern w:val="0"/>
          <w:sz w:val="32"/>
          <w:szCs w:val="32"/>
        </w:rPr>
        <w:t>、负责民兵、预备役人员的军事训练和政治教育；</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3</w:t>
      </w:r>
      <w:r>
        <w:rPr>
          <w:rFonts w:hint="eastAsia" w:ascii="仿宋" w:hAnsi="仿宋" w:eastAsia="仿宋" w:cs="宋体"/>
          <w:color w:val="484747"/>
          <w:kern w:val="0"/>
          <w:sz w:val="32"/>
          <w:szCs w:val="32"/>
        </w:rPr>
        <w:t>、组织并带领民兵完成战备值勤任务；</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4</w:t>
      </w:r>
      <w:r>
        <w:rPr>
          <w:rFonts w:hint="eastAsia" w:ascii="仿宋" w:hAnsi="仿宋" w:eastAsia="仿宋" w:cs="宋体"/>
          <w:color w:val="484747"/>
          <w:kern w:val="0"/>
          <w:sz w:val="32"/>
          <w:szCs w:val="32"/>
        </w:rPr>
        <w:t>、负责民兵、预备役人员的登记、统计工作；</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5</w:t>
      </w:r>
      <w:r>
        <w:rPr>
          <w:rFonts w:hint="eastAsia" w:ascii="仿宋" w:hAnsi="仿宋" w:eastAsia="仿宋" w:cs="宋体"/>
          <w:color w:val="484747"/>
          <w:kern w:val="0"/>
          <w:sz w:val="32"/>
          <w:szCs w:val="32"/>
        </w:rPr>
        <w:t>、协同教育部门对学生实施军事训练；</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6</w:t>
      </w:r>
      <w:r>
        <w:rPr>
          <w:rFonts w:hint="eastAsia" w:ascii="仿宋" w:hAnsi="仿宋" w:eastAsia="仿宋" w:cs="宋体"/>
          <w:color w:val="484747"/>
          <w:kern w:val="0"/>
          <w:sz w:val="32"/>
          <w:szCs w:val="32"/>
        </w:rPr>
        <w:t>、负责征兵、招收飞行学员工作；</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7</w:t>
      </w:r>
      <w:r>
        <w:rPr>
          <w:rFonts w:hint="eastAsia" w:ascii="仿宋" w:hAnsi="仿宋" w:eastAsia="仿宋" w:cs="宋体"/>
          <w:color w:val="484747"/>
          <w:kern w:val="0"/>
          <w:sz w:val="32"/>
          <w:szCs w:val="32"/>
        </w:rPr>
        <w:t>、负责拟制本区域内的战时动员计划，会同有关部门在平时做好战时动员准备工作；</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8</w:t>
      </w:r>
      <w:r>
        <w:rPr>
          <w:rFonts w:hint="eastAsia" w:ascii="仿宋" w:hAnsi="仿宋" w:eastAsia="仿宋" w:cs="宋体"/>
          <w:color w:val="484747"/>
          <w:kern w:val="0"/>
          <w:sz w:val="32"/>
          <w:szCs w:val="32"/>
        </w:rPr>
        <w:t>、协同有关部门做好人民防空、交通战备工作；</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9</w:t>
      </w:r>
      <w:r>
        <w:rPr>
          <w:rFonts w:hint="eastAsia" w:ascii="仿宋" w:hAnsi="仿宋" w:eastAsia="仿宋" w:cs="宋体"/>
          <w:color w:val="484747"/>
          <w:kern w:val="0"/>
          <w:sz w:val="32"/>
          <w:szCs w:val="32"/>
        </w:rPr>
        <w:t>、负责对专职任务干部的管理；</w:t>
      </w:r>
    </w:p>
    <w:p>
      <w:pPr>
        <w:widowControl/>
        <w:spacing w:line="500" w:lineRule="exact"/>
        <w:ind w:firstLine="640" w:firstLineChars="200"/>
        <w:jc w:val="left"/>
        <w:rPr>
          <w:rFonts w:ascii="仿宋" w:hAnsi="仿宋" w:eastAsia="仿宋" w:cs="宋体"/>
          <w:color w:val="484747"/>
          <w:kern w:val="0"/>
          <w:sz w:val="32"/>
          <w:szCs w:val="32"/>
        </w:rPr>
      </w:pPr>
      <w:r>
        <w:rPr>
          <w:rFonts w:ascii="仿宋" w:hAnsi="仿宋" w:eastAsia="仿宋" w:cs="宋体"/>
          <w:color w:val="484747"/>
          <w:kern w:val="0"/>
          <w:sz w:val="32"/>
          <w:szCs w:val="32"/>
        </w:rPr>
        <w:t xml:space="preserve">   10</w:t>
      </w:r>
      <w:r>
        <w:rPr>
          <w:rFonts w:hint="eastAsia" w:ascii="仿宋" w:hAnsi="仿宋" w:eastAsia="仿宋" w:cs="宋体"/>
          <w:color w:val="484747"/>
          <w:kern w:val="0"/>
          <w:sz w:val="32"/>
          <w:szCs w:val="32"/>
        </w:rPr>
        <w:t>、协同有关部门做好退出现役军人的安置和军烈属的优抚工作；</w:t>
      </w:r>
    </w:p>
    <w:p>
      <w:pPr>
        <w:ind w:firstLine="640" w:firstLineChars="200"/>
        <w:rPr>
          <w:rFonts w:ascii="Times New Roman" w:hAnsi="Times New Roman" w:eastAsia="方正仿宋_GBK"/>
          <w:b/>
          <w:sz w:val="32"/>
          <w:szCs w:val="32"/>
        </w:rPr>
      </w:pPr>
    </w:p>
    <w:p>
      <w:pPr>
        <w:autoSpaceDE w:val="0"/>
        <w:autoSpaceDN w:val="0"/>
        <w:adjustRightInd w:val="0"/>
        <w:ind w:firstLine="643" w:firstLineChars="200"/>
        <w:jc w:val="left"/>
        <w:rPr>
          <w:rFonts w:ascii="楷体" w:hAnsi="楷体" w:eastAsia="楷体"/>
          <w:b/>
          <w:sz w:val="32"/>
          <w:szCs w:val="32"/>
        </w:rPr>
      </w:pPr>
      <w:r>
        <w:rPr>
          <w:rFonts w:hint="eastAsia" w:ascii="楷体" w:hAnsi="楷体" w:eastAsia="楷体"/>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7701"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47"/>
        <w:gridCol w:w="756"/>
        <w:gridCol w:w="1007"/>
        <w:gridCol w:w="22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647"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75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007"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291"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647" w:type="dxa"/>
            <w:vMerge w:val="continue"/>
            <w:vAlign w:val="center"/>
          </w:tcPr>
          <w:p>
            <w:pPr>
              <w:spacing w:line="300" w:lineRule="exact"/>
              <w:jc w:val="left"/>
              <w:outlineLvl w:val="0"/>
              <w:rPr>
                <w:rFonts w:ascii="Times New Roman" w:hAnsi="Times New Roman"/>
                <w:szCs w:val="24"/>
              </w:rPr>
            </w:pPr>
          </w:p>
        </w:tc>
        <w:tc>
          <w:tcPr>
            <w:tcW w:w="756" w:type="dxa"/>
            <w:vMerge w:val="continue"/>
            <w:vAlign w:val="center"/>
          </w:tcPr>
          <w:p>
            <w:pPr>
              <w:spacing w:line="300" w:lineRule="exact"/>
              <w:jc w:val="left"/>
              <w:outlineLvl w:val="0"/>
              <w:rPr>
                <w:rFonts w:ascii="Times New Roman" w:hAnsi="Times New Roman"/>
                <w:szCs w:val="24"/>
              </w:rPr>
            </w:pPr>
          </w:p>
        </w:tc>
        <w:tc>
          <w:tcPr>
            <w:tcW w:w="1007" w:type="dxa"/>
            <w:vMerge w:val="continue"/>
            <w:vAlign w:val="center"/>
          </w:tcPr>
          <w:p>
            <w:pPr>
              <w:spacing w:line="300" w:lineRule="exact"/>
              <w:jc w:val="left"/>
              <w:outlineLvl w:val="0"/>
              <w:rPr>
                <w:rFonts w:ascii="Times New Roman" w:hAnsi="Times New Roman"/>
                <w:szCs w:val="24"/>
              </w:rPr>
            </w:pPr>
          </w:p>
        </w:tc>
        <w:tc>
          <w:tcPr>
            <w:tcW w:w="2291"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8" w:hRule="atLeast"/>
          <w:jc w:val="center"/>
        </w:trPr>
        <w:tc>
          <w:tcPr>
            <w:tcW w:w="3647"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中国人民解放军河北省大厂回族自治县人民武装部</w:t>
            </w:r>
          </w:p>
        </w:tc>
        <w:tc>
          <w:tcPr>
            <w:tcW w:w="75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事业</w:t>
            </w:r>
          </w:p>
        </w:tc>
        <w:tc>
          <w:tcPr>
            <w:tcW w:w="1007"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正处级</w:t>
            </w:r>
          </w:p>
        </w:tc>
        <w:tc>
          <w:tcPr>
            <w:tcW w:w="2291"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8" w:hRule="atLeast"/>
          <w:jc w:val="center"/>
        </w:trPr>
        <w:tc>
          <w:tcPr>
            <w:tcW w:w="3647" w:type="dxa"/>
            <w:vAlign w:val="center"/>
          </w:tcPr>
          <w:p>
            <w:pPr>
              <w:spacing w:line="300" w:lineRule="exact"/>
              <w:jc w:val="left"/>
              <w:rPr>
                <w:rFonts w:ascii="Times New Roman" w:hAnsi="Times New Roman" w:eastAsia="方正书宋_GBK"/>
                <w:szCs w:val="24"/>
              </w:rPr>
            </w:pPr>
          </w:p>
        </w:tc>
        <w:tc>
          <w:tcPr>
            <w:tcW w:w="756" w:type="dxa"/>
            <w:vAlign w:val="center"/>
          </w:tcPr>
          <w:p>
            <w:pPr>
              <w:spacing w:line="300" w:lineRule="exact"/>
              <w:jc w:val="left"/>
              <w:rPr>
                <w:rFonts w:ascii="Times New Roman" w:hAnsi="Times New Roman" w:eastAsia="方正书宋_GBK"/>
                <w:szCs w:val="24"/>
              </w:rPr>
            </w:pPr>
          </w:p>
        </w:tc>
        <w:tc>
          <w:tcPr>
            <w:tcW w:w="1007" w:type="dxa"/>
            <w:vAlign w:val="center"/>
          </w:tcPr>
          <w:p>
            <w:pPr>
              <w:spacing w:line="300" w:lineRule="exact"/>
              <w:jc w:val="left"/>
              <w:rPr>
                <w:rFonts w:ascii="Times New Roman" w:hAnsi="Times New Roman" w:eastAsia="方正书宋_GBK"/>
                <w:szCs w:val="24"/>
              </w:rPr>
            </w:pPr>
          </w:p>
        </w:tc>
        <w:tc>
          <w:tcPr>
            <w:tcW w:w="2291" w:type="dxa"/>
            <w:vAlign w:val="center"/>
          </w:tcPr>
          <w:p>
            <w:pPr>
              <w:spacing w:line="300" w:lineRule="exact"/>
              <w:jc w:val="left"/>
              <w:rPr>
                <w:rFonts w:ascii="Times New Roman" w:hAnsi="Times New Roman" w:eastAsia="方正书宋_GBK"/>
                <w:szCs w:val="24"/>
              </w:rPr>
            </w:pPr>
          </w:p>
        </w:tc>
      </w:tr>
    </w:tbl>
    <w:p>
      <w:pPr>
        <w:rPr>
          <w:rFonts w:ascii="黑体" w:hAnsi="黑体" w:eastAsia="黑体"/>
          <w:sz w:val="32"/>
          <w:szCs w:val="32"/>
        </w:rPr>
      </w:pPr>
      <w:r>
        <w:rPr>
          <w:rFonts w:hint="eastAsia" w:ascii="黑体" w:hAnsi="黑体" w:eastAsia="黑体"/>
          <w:sz w:val="32"/>
          <w:szCs w:val="32"/>
        </w:rPr>
        <w:t>二、部门预算安排的总体情况</w:t>
      </w:r>
    </w:p>
    <w:p>
      <w:pPr>
        <w:ind w:firstLine="640"/>
        <w:rPr>
          <w:rFonts w:ascii="仿宋" w:hAnsi="仿宋" w:eastAsia="仿宋"/>
          <w:sz w:val="32"/>
          <w:szCs w:val="32"/>
        </w:rPr>
      </w:pPr>
      <w:r>
        <w:rPr>
          <w:rFonts w:hint="eastAsia" w:ascii="仿宋" w:hAnsi="仿宋" w:eastAsia="仿宋"/>
          <w:sz w:val="32"/>
          <w:szCs w:val="32"/>
        </w:rPr>
        <w:t>按照预算管理有关规定，目前我部门预算的编制实行综合预算制度，即全部收入和支出都反映在预算中。</w:t>
      </w:r>
    </w:p>
    <w:p>
      <w:pPr>
        <w:ind w:firstLine="64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年预算收入</w:t>
      </w:r>
      <w:r>
        <w:rPr>
          <w:rFonts w:ascii="仿宋" w:hAnsi="仿宋" w:eastAsia="仿宋"/>
          <w:sz w:val="32"/>
          <w:szCs w:val="32"/>
        </w:rPr>
        <w:t>254.02</w:t>
      </w:r>
      <w:r>
        <w:rPr>
          <w:rFonts w:hint="eastAsia" w:ascii="仿宋" w:hAnsi="仿宋" w:eastAsia="仿宋"/>
          <w:sz w:val="32"/>
          <w:szCs w:val="32"/>
        </w:rPr>
        <w:t>万元，其中：一般公共预算收入</w:t>
      </w:r>
      <w:r>
        <w:rPr>
          <w:rFonts w:ascii="仿宋" w:hAnsi="仿宋" w:eastAsia="仿宋"/>
          <w:sz w:val="32"/>
          <w:szCs w:val="32"/>
        </w:rPr>
        <w:t>254.02</w:t>
      </w:r>
      <w:r>
        <w:rPr>
          <w:rFonts w:hint="eastAsia" w:ascii="仿宋" w:hAnsi="仿宋" w:eastAsia="仿宋"/>
          <w:sz w:val="32"/>
          <w:szCs w:val="32"/>
        </w:rPr>
        <w:t>万元，政府性基金收入</w:t>
      </w:r>
      <w:r>
        <w:rPr>
          <w:rFonts w:ascii="仿宋" w:hAnsi="仿宋" w:eastAsia="仿宋"/>
          <w:sz w:val="32"/>
          <w:szCs w:val="32"/>
        </w:rPr>
        <w:t>0</w:t>
      </w:r>
      <w:r>
        <w:rPr>
          <w:rFonts w:hint="eastAsia" w:ascii="仿宋" w:hAnsi="仿宋" w:eastAsia="仿宋"/>
          <w:sz w:val="32"/>
          <w:szCs w:val="32"/>
        </w:rPr>
        <w:t>万元，国有资本经营收入</w:t>
      </w:r>
      <w:r>
        <w:rPr>
          <w:rFonts w:ascii="仿宋" w:hAnsi="仿宋" w:eastAsia="仿宋"/>
          <w:sz w:val="32"/>
          <w:szCs w:val="32"/>
        </w:rPr>
        <w:t>0</w:t>
      </w:r>
      <w:r>
        <w:rPr>
          <w:rFonts w:hint="eastAsia" w:ascii="仿宋" w:hAnsi="仿宋" w:eastAsia="仿宋"/>
          <w:sz w:val="32"/>
          <w:szCs w:val="32"/>
        </w:rPr>
        <w:t>万元，事业收入</w:t>
      </w:r>
      <w:r>
        <w:rPr>
          <w:rFonts w:ascii="仿宋" w:hAnsi="仿宋" w:eastAsia="仿宋"/>
          <w:sz w:val="32"/>
          <w:szCs w:val="32"/>
        </w:rPr>
        <w:t>0</w:t>
      </w:r>
      <w:r>
        <w:rPr>
          <w:rFonts w:hint="eastAsia" w:ascii="仿宋" w:hAnsi="仿宋" w:eastAsia="仿宋"/>
          <w:sz w:val="32"/>
          <w:szCs w:val="32"/>
        </w:rPr>
        <w:t>万元，其他收入</w:t>
      </w:r>
      <w:r>
        <w:rPr>
          <w:rFonts w:ascii="仿宋" w:hAnsi="仿宋" w:eastAsia="仿宋"/>
          <w:sz w:val="32"/>
          <w:szCs w:val="32"/>
        </w:rPr>
        <w:t>0</w:t>
      </w:r>
      <w:r>
        <w:rPr>
          <w:rFonts w:hint="eastAsia" w:ascii="仿宋" w:hAnsi="仿宋" w:eastAsia="仿宋"/>
          <w:sz w:val="32"/>
          <w:szCs w:val="32"/>
        </w:rPr>
        <w:t>万元。</w:t>
      </w:r>
    </w:p>
    <w:p>
      <w:pPr>
        <w:ind w:firstLine="64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ind w:firstLine="64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w:t>
      </w:r>
      <w:r>
        <w:rPr>
          <w:rFonts w:hint="eastAsia" w:ascii="仿宋" w:hAnsi="仿宋" w:eastAsia="仿宋"/>
          <w:sz w:val="32"/>
          <w:szCs w:val="32"/>
          <w:lang w:val="en-US" w:eastAsia="zh-CN"/>
        </w:rPr>
        <w:t>廊坊市</w:t>
      </w:r>
      <w:r>
        <w:rPr>
          <w:rFonts w:hint="eastAsia" w:ascii="仿宋" w:hAnsi="仿宋" w:eastAsia="仿宋"/>
          <w:sz w:val="32"/>
          <w:szCs w:val="32"/>
        </w:rPr>
        <w:t>大厂回族自治县人民武装部年度部门预算中支出预算的总体情况。</w:t>
      </w:r>
      <w:r>
        <w:rPr>
          <w:rFonts w:ascii="仿宋" w:hAnsi="仿宋" w:eastAsia="仿宋"/>
          <w:sz w:val="32"/>
          <w:szCs w:val="32"/>
        </w:rPr>
        <w:t>2017</w:t>
      </w:r>
      <w:r>
        <w:rPr>
          <w:rFonts w:hint="eastAsia" w:ascii="仿宋" w:hAnsi="仿宋" w:eastAsia="仿宋"/>
          <w:sz w:val="32"/>
          <w:szCs w:val="32"/>
        </w:rPr>
        <w:t>年支出预算</w:t>
      </w:r>
      <w:r>
        <w:rPr>
          <w:rFonts w:ascii="仿宋" w:hAnsi="仿宋" w:eastAsia="仿宋"/>
          <w:sz w:val="32"/>
          <w:szCs w:val="32"/>
        </w:rPr>
        <w:t>254.02</w:t>
      </w:r>
      <w:r>
        <w:rPr>
          <w:rFonts w:hint="eastAsia" w:ascii="仿宋" w:hAnsi="仿宋" w:eastAsia="仿宋"/>
          <w:sz w:val="32"/>
          <w:szCs w:val="32"/>
        </w:rPr>
        <w:t>万元，其中基本支出</w:t>
      </w:r>
      <w:r>
        <w:rPr>
          <w:rFonts w:ascii="仿宋" w:hAnsi="仿宋" w:eastAsia="仿宋"/>
          <w:sz w:val="32"/>
          <w:szCs w:val="32"/>
        </w:rPr>
        <w:t>173.02</w:t>
      </w:r>
      <w:r>
        <w:rPr>
          <w:rFonts w:hint="eastAsia" w:ascii="仿宋" w:hAnsi="仿宋" w:eastAsia="仿宋"/>
          <w:sz w:val="32"/>
          <w:szCs w:val="32"/>
        </w:rPr>
        <w:t>万元，包括人员经费和日常公用经费；项目支出</w:t>
      </w:r>
      <w:r>
        <w:rPr>
          <w:rFonts w:ascii="仿宋" w:hAnsi="仿宋" w:eastAsia="仿宋"/>
          <w:sz w:val="32"/>
          <w:szCs w:val="32"/>
        </w:rPr>
        <w:t>81</w:t>
      </w:r>
      <w:r>
        <w:rPr>
          <w:rFonts w:hint="eastAsia" w:ascii="仿宋" w:hAnsi="仿宋" w:eastAsia="仿宋"/>
          <w:sz w:val="32"/>
          <w:szCs w:val="32"/>
        </w:rPr>
        <w:t>万元，主要为国防动员经费</w:t>
      </w:r>
      <w:r>
        <w:rPr>
          <w:rFonts w:ascii="仿宋" w:hAnsi="仿宋" w:eastAsia="仿宋"/>
          <w:sz w:val="32"/>
          <w:szCs w:val="32"/>
        </w:rPr>
        <w:t>10</w:t>
      </w:r>
      <w:r>
        <w:rPr>
          <w:rFonts w:hint="eastAsia" w:ascii="仿宋" w:hAnsi="仿宋" w:eastAsia="仿宋"/>
          <w:sz w:val="32"/>
          <w:szCs w:val="32"/>
        </w:rPr>
        <w:t>万元；国防教育经费</w:t>
      </w:r>
      <w:r>
        <w:rPr>
          <w:rFonts w:ascii="仿宋" w:hAnsi="仿宋" w:eastAsia="仿宋"/>
          <w:sz w:val="32"/>
          <w:szCs w:val="32"/>
        </w:rPr>
        <w:t xml:space="preserve"> 6</w:t>
      </w:r>
      <w:r>
        <w:rPr>
          <w:rFonts w:hint="eastAsia" w:ascii="仿宋" w:hAnsi="仿宋" w:eastAsia="仿宋"/>
          <w:sz w:val="32"/>
          <w:szCs w:val="32"/>
        </w:rPr>
        <w:t>万元；兵役登记费</w:t>
      </w:r>
      <w:r>
        <w:rPr>
          <w:rFonts w:ascii="仿宋" w:hAnsi="仿宋" w:eastAsia="仿宋"/>
          <w:sz w:val="32"/>
          <w:szCs w:val="32"/>
        </w:rPr>
        <w:t>2</w:t>
      </w:r>
      <w:r>
        <w:rPr>
          <w:rFonts w:hint="eastAsia" w:ascii="仿宋" w:hAnsi="仿宋" w:eastAsia="仿宋"/>
          <w:sz w:val="32"/>
          <w:szCs w:val="32"/>
        </w:rPr>
        <w:t>万元；征兵费</w:t>
      </w:r>
      <w:r>
        <w:rPr>
          <w:rFonts w:ascii="仿宋" w:hAnsi="仿宋" w:eastAsia="仿宋"/>
          <w:sz w:val="32"/>
          <w:szCs w:val="32"/>
        </w:rPr>
        <w:t>10</w:t>
      </w:r>
      <w:r>
        <w:rPr>
          <w:rFonts w:hint="eastAsia" w:ascii="仿宋" w:hAnsi="仿宋" w:eastAsia="仿宋"/>
          <w:sz w:val="32"/>
          <w:szCs w:val="32"/>
        </w:rPr>
        <w:t>万元；民兵分队建设经费</w:t>
      </w:r>
      <w:r>
        <w:rPr>
          <w:rFonts w:ascii="仿宋" w:hAnsi="仿宋" w:eastAsia="仿宋"/>
          <w:sz w:val="32"/>
          <w:szCs w:val="32"/>
        </w:rPr>
        <w:t>8</w:t>
      </w:r>
      <w:r>
        <w:rPr>
          <w:rFonts w:hint="eastAsia" w:ascii="仿宋" w:hAnsi="仿宋" w:eastAsia="仿宋"/>
          <w:sz w:val="32"/>
          <w:szCs w:val="32"/>
        </w:rPr>
        <w:t>万元；民兵训练费</w:t>
      </w:r>
      <w:r>
        <w:rPr>
          <w:rFonts w:ascii="仿宋" w:hAnsi="仿宋" w:eastAsia="仿宋"/>
          <w:sz w:val="32"/>
          <w:szCs w:val="32"/>
        </w:rPr>
        <w:t>10</w:t>
      </w:r>
      <w:r>
        <w:rPr>
          <w:rFonts w:hint="eastAsia" w:ascii="仿宋" w:hAnsi="仿宋" w:eastAsia="仿宋"/>
          <w:sz w:val="32"/>
          <w:szCs w:val="32"/>
        </w:rPr>
        <w:t>万元；民兵整组经费</w:t>
      </w:r>
      <w:r>
        <w:rPr>
          <w:rFonts w:ascii="仿宋" w:hAnsi="仿宋" w:eastAsia="仿宋"/>
          <w:sz w:val="32"/>
          <w:szCs w:val="32"/>
        </w:rPr>
        <w:t>10</w:t>
      </w:r>
      <w:r>
        <w:rPr>
          <w:rFonts w:hint="eastAsia" w:ascii="仿宋" w:hAnsi="仿宋" w:eastAsia="仿宋"/>
          <w:sz w:val="32"/>
          <w:szCs w:val="32"/>
        </w:rPr>
        <w:t>万元；民兵训练基地管理费</w:t>
      </w:r>
      <w:r>
        <w:rPr>
          <w:rFonts w:ascii="仿宋" w:hAnsi="仿宋" w:eastAsia="仿宋"/>
          <w:sz w:val="32"/>
          <w:szCs w:val="32"/>
        </w:rPr>
        <w:t>17</w:t>
      </w:r>
      <w:r>
        <w:rPr>
          <w:rFonts w:hint="eastAsia" w:ascii="仿宋" w:hAnsi="仿宋" w:eastAsia="仿宋"/>
          <w:sz w:val="32"/>
          <w:szCs w:val="32"/>
        </w:rPr>
        <w:t>万元等。</w:t>
      </w:r>
    </w:p>
    <w:p>
      <w:pPr>
        <w:ind w:firstLine="640"/>
        <w:rPr>
          <w:rFonts w:ascii="楷体" w:hAnsi="楷体" w:eastAsia="楷体"/>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年预算收支安排</w:t>
      </w:r>
      <w:r>
        <w:rPr>
          <w:rFonts w:ascii="仿宋" w:hAnsi="仿宋" w:eastAsia="仿宋"/>
          <w:sz w:val="32"/>
          <w:szCs w:val="32"/>
        </w:rPr>
        <w:t>254.02</w:t>
      </w:r>
      <w:r>
        <w:rPr>
          <w:rFonts w:hint="eastAsia" w:ascii="仿宋" w:hAnsi="仿宋" w:eastAsia="仿宋"/>
          <w:sz w:val="32"/>
          <w:szCs w:val="32"/>
        </w:rPr>
        <w:t>万元，较</w:t>
      </w:r>
      <w:r>
        <w:rPr>
          <w:rFonts w:ascii="仿宋" w:hAnsi="仿宋" w:eastAsia="仿宋"/>
          <w:sz w:val="32"/>
          <w:szCs w:val="32"/>
        </w:rPr>
        <w:t>2016</w:t>
      </w:r>
      <w:r>
        <w:rPr>
          <w:rFonts w:hint="eastAsia" w:ascii="仿宋" w:hAnsi="仿宋" w:eastAsia="仿宋"/>
          <w:sz w:val="32"/>
          <w:szCs w:val="32"/>
        </w:rPr>
        <w:t>年预算增加</w:t>
      </w:r>
      <w:r>
        <w:rPr>
          <w:rFonts w:ascii="仿宋" w:hAnsi="仿宋" w:eastAsia="仿宋"/>
          <w:sz w:val="32"/>
          <w:szCs w:val="32"/>
        </w:rPr>
        <w:t>72.88</w:t>
      </w:r>
      <w:r>
        <w:rPr>
          <w:rFonts w:hint="eastAsia" w:ascii="仿宋" w:hAnsi="仿宋" w:eastAsia="仿宋"/>
          <w:sz w:val="32"/>
          <w:szCs w:val="32"/>
        </w:rPr>
        <w:t>万元，其中：基本支出增加</w:t>
      </w:r>
      <w:r>
        <w:rPr>
          <w:rFonts w:ascii="仿宋" w:hAnsi="仿宋" w:eastAsia="仿宋"/>
          <w:sz w:val="32"/>
          <w:szCs w:val="32"/>
        </w:rPr>
        <w:t>72.88</w:t>
      </w:r>
      <w:r>
        <w:rPr>
          <w:rFonts w:hint="eastAsia" w:ascii="仿宋" w:hAnsi="仿宋" w:eastAsia="仿宋"/>
          <w:sz w:val="32"/>
          <w:szCs w:val="32"/>
        </w:rPr>
        <w:t>万元，主要为增加人员经费支出。</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机关运行经费共计安排</w:t>
      </w:r>
      <w:r>
        <w:rPr>
          <w:rFonts w:ascii="仿宋" w:hAnsi="仿宋" w:eastAsia="仿宋"/>
          <w:sz w:val="32"/>
          <w:szCs w:val="32"/>
        </w:rPr>
        <w:t>31.6</w:t>
      </w:r>
      <w:r>
        <w:rPr>
          <w:rFonts w:hint="eastAsia" w:ascii="仿宋" w:hAnsi="仿宋" w:eastAsia="仿宋"/>
          <w:sz w:val="32"/>
          <w:szCs w:val="32"/>
        </w:rPr>
        <w:t>万元，主要用于</w:t>
      </w:r>
      <w:r>
        <w:rPr>
          <w:rFonts w:hint="eastAsia" w:ascii="仿宋" w:hAnsi="仿宋" w:eastAsia="仿宋"/>
          <w:sz w:val="32"/>
          <w:szCs w:val="32"/>
          <w:lang w:val="en-US" w:eastAsia="zh-CN"/>
        </w:rPr>
        <w:t>廊坊市</w:t>
      </w:r>
      <w:r>
        <w:rPr>
          <w:rFonts w:hint="eastAsia" w:ascii="仿宋" w:hAnsi="仿宋" w:eastAsia="仿宋"/>
          <w:sz w:val="32"/>
          <w:szCs w:val="32"/>
        </w:rPr>
        <w:t>大厂回族自治县人民武装部办公区的日常维修、办公用房水电费、办公用房取暖费、办公用房物业管理费等日常运行支出。</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w:t>
      </w:r>
      <w:r>
        <w:rPr>
          <w:rFonts w:hint="eastAsia" w:ascii="仿宋" w:hAnsi="仿宋" w:eastAsia="仿宋"/>
          <w:sz w:val="32"/>
          <w:szCs w:val="32"/>
          <w:lang w:val="en-US" w:eastAsia="zh-CN"/>
        </w:rPr>
        <w:t>廊坊市大厂回族自治县人民</w:t>
      </w:r>
      <w:bookmarkStart w:id="2" w:name="_GoBack"/>
      <w:bookmarkEnd w:id="2"/>
      <w:r>
        <w:rPr>
          <w:rFonts w:hint="eastAsia" w:ascii="仿宋" w:hAnsi="仿宋" w:eastAsia="仿宋"/>
          <w:sz w:val="32"/>
          <w:szCs w:val="32"/>
        </w:rPr>
        <w:t>武装部“三公”经费预算安排</w:t>
      </w:r>
      <w:r>
        <w:rPr>
          <w:rFonts w:ascii="仿宋" w:hAnsi="仿宋" w:eastAsia="仿宋"/>
          <w:sz w:val="32"/>
          <w:szCs w:val="32"/>
        </w:rPr>
        <w:t>5</w:t>
      </w:r>
      <w:r>
        <w:rPr>
          <w:rFonts w:hint="eastAsia" w:ascii="仿宋" w:hAnsi="仿宋" w:eastAsia="仿宋"/>
          <w:sz w:val="32"/>
          <w:szCs w:val="32"/>
        </w:rPr>
        <w:t>万元，其中公务用车购置及运维费</w:t>
      </w:r>
      <w:r>
        <w:rPr>
          <w:rFonts w:ascii="仿宋" w:hAnsi="仿宋" w:eastAsia="仿宋"/>
          <w:sz w:val="32"/>
          <w:szCs w:val="32"/>
        </w:rPr>
        <w:t>3</w:t>
      </w:r>
      <w:r>
        <w:rPr>
          <w:rFonts w:hint="eastAsia" w:ascii="仿宋" w:hAnsi="仿宋" w:eastAsia="仿宋"/>
          <w:sz w:val="32"/>
          <w:szCs w:val="32"/>
        </w:rPr>
        <w:t>万元（其中：公务用车运行费</w:t>
      </w:r>
      <w:r>
        <w:rPr>
          <w:rFonts w:ascii="仿宋" w:hAnsi="仿宋" w:eastAsia="仿宋"/>
          <w:sz w:val="32"/>
          <w:szCs w:val="32"/>
        </w:rPr>
        <w:t>3</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；公务接待费</w:t>
      </w:r>
      <w:r>
        <w:rPr>
          <w:rFonts w:ascii="仿宋" w:hAnsi="仿宋" w:eastAsia="仿宋"/>
          <w:sz w:val="32"/>
          <w:szCs w:val="32"/>
        </w:rPr>
        <w:t>2</w:t>
      </w:r>
      <w:r>
        <w:rPr>
          <w:rFonts w:hint="eastAsia" w:ascii="仿宋" w:hAnsi="仿宋" w:eastAsia="仿宋"/>
          <w:sz w:val="32"/>
          <w:szCs w:val="32"/>
        </w:rPr>
        <w:t>万元。与</w:t>
      </w:r>
      <w:r>
        <w:rPr>
          <w:rFonts w:ascii="仿宋" w:hAnsi="仿宋" w:eastAsia="仿宋"/>
          <w:sz w:val="32"/>
          <w:szCs w:val="32"/>
        </w:rPr>
        <w:t>2016</w:t>
      </w:r>
      <w:r>
        <w:rPr>
          <w:rFonts w:hint="eastAsia" w:ascii="仿宋" w:hAnsi="仿宋" w:eastAsia="仿宋"/>
          <w:sz w:val="32"/>
          <w:szCs w:val="32"/>
        </w:rPr>
        <w:t>年增</w:t>
      </w:r>
      <w:r>
        <w:rPr>
          <w:rFonts w:ascii="仿宋" w:hAnsi="仿宋" w:eastAsia="仿宋"/>
          <w:sz w:val="32"/>
          <w:szCs w:val="32"/>
        </w:rPr>
        <w:t>0.2</w:t>
      </w:r>
      <w:r>
        <w:rPr>
          <w:rFonts w:hint="eastAsia" w:ascii="仿宋" w:hAnsi="仿宋" w:eastAsia="仿宋"/>
          <w:sz w:val="32"/>
          <w:szCs w:val="32"/>
        </w:rPr>
        <w:t>万元，主要增加原因是军分区增加业务培训。</w:t>
      </w:r>
    </w:p>
    <w:p>
      <w:pPr>
        <w:ind w:firstLine="640"/>
        <w:rPr>
          <w:rFonts w:ascii="黑体" w:hAnsi="黑体" w:eastAsia="黑体"/>
          <w:sz w:val="32"/>
          <w:szCs w:val="32"/>
        </w:rPr>
      </w:pPr>
      <w:r>
        <w:rPr>
          <w:rFonts w:hint="eastAsia" w:ascii="黑体" w:hAnsi="黑体" w:eastAsia="黑体"/>
          <w:sz w:val="32"/>
          <w:szCs w:val="32"/>
        </w:rPr>
        <w:t>五、绩效预算信息</w:t>
      </w:r>
    </w:p>
    <w:p>
      <w:pPr>
        <w:ind w:firstLine="643" w:firstLineChars="200"/>
        <w:jc w:val="left"/>
        <w:rPr>
          <w:rFonts w:ascii="楷体" w:hAnsi="楷体" w:eastAsia="楷体"/>
          <w:b/>
          <w:sz w:val="32"/>
          <w:szCs w:val="32"/>
        </w:rPr>
      </w:pPr>
      <w:bookmarkStart w:id="0" w:name="_Toc471398463"/>
      <w:r>
        <w:rPr>
          <w:rFonts w:ascii="楷体" w:hAnsi="楷体" w:eastAsia="楷体"/>
          <w:b/>
          <w:sz w:val="32"/>
          <w:szCs w:val="32"/>
        </w:rPr>
        <w:t>1</w:t>
      </w:r>
      <w:r>
        <w:rPr>
          <w:rFonts w:hint="eastAsia" w:ascii="楷体" w:hAnsi="楷体" w:eastAsia="楷体"/>
          <w:b/>
          <w:sz w:val="32"/>
          <w:szCs w:val="32"/>
        </w:rPr>
        <w:t>、总体绩效目标：</w:t>
      </w:r>
    </w:p>
    <w:p>
      <w:pPr>
        <w:spacing w:line="560" w:lineRule="exact"/>
        <w:ind w:firstLine="560"/>
        <w:rPr>
          <w:rFonts w:ascii="仿宋" w:hAnsi="仿宋" w:eastAsia="仿宋"/>
          <w:sz w:val="32"/>
          <w:szCs w:val="32"/>
        </w:rPr>
      </w:pPr>
      <w:r>
        <w:rPr>
          <w:rFonts w:hint="eastAsia" w:ascii="仿宋" w:hAnsi="仿宋" w:eastAsia="仿宋"/>
          <w:sz w:val="32"/>
          <w:szCs w:val="32"/>
        </w:rPr>
        <w:t>（一）认真抓现役干部和专武部长干部的训练，坚持按纲施训，分类指导，从严治训，扎实打牢战斗力量建设的基础，严格落实首长机关训练制度，共落实</w:t>
      </w:r>
      <w:r>
        <w:rPr>
          <w:rFonts w:ascii="仿宋" w:hAnsi="仿宋" w:eastAsia="仿宋"/>
          <w:sz w:val="32"/>
          <w:szCs w:val="32"/>
        </w:rPr>
        <w:t>52</w:t>
      </w:r>
      <w:r>
        <w:rPr>
          <w:rFonts w:hint="eastAsia" w:ascii="仿宋" w:hAnsi="仿宋" w:eastAsia="仿宋"/>
          <w:sz w:val="32"/>
          <w:szCs w:val="32"/>
        </w:rPr>
        <w:t>天，</w:t>
      </w:r>
      <w:r>
        <w:rPr>
          <w:rFonts w:ascii="仿宋" w:hAnsi="仿宋" w:eastAsia="仿宋"/>
          <w:sz w:val="32"/>
          <w:szCs w:val="32"/>
        </w:rPr>
        <w:t>488</w:t>
      </w:r>
      <w:r>
        <w:rPr>
          <w:rFonts w:hint="eastAsia" w:ascii="仿宋" w:hAnsi="仿宋" w:eastAsia="仿宋"/>
          <w:sz w:val="32"/>
          <w:szCs w:val="32"/>
        </w:rPr>
        <w:t>小时。按军事训练目标要求，每季度有重点训练月，每月有训练周，大大提高了现役干部和专武干部的训练认真抓好专武干部和民兵的政治教育，促进理论武装再强化。</w:t>
      </w:r>
    </w:p>
    <w:p>
      <w:pPr>
        <w:spacing w:line="560" w:lineRule="exact"/>
        <w:ind w:firstLine="560"/>
        <w:rPr>
          <w:rFonts w:ascii="仿宋" w:hAnsi="仿宋" w:eastAsia="仿宋"/>
          <w:sz w:val="32"/>
          <w:szCs w:val="32"/>
        </w:rPr>
      </w:pPr>
      <w:r>
        <w:rPr>
          <w:rFonts w:hint="eastAsia" w:ascii="仿宋" w:hAnsi="仿宋" w:eastAsia="仿宋"/>
          <w:sz w:val="32"/>
          <w:szCs w:val="32"/>
        </w:rPr>
        <w:t>绩效目标：提高干部的技能水平提，进一步提高应变能力。</w:t>
      </w:r>
    </w:p>
    <w:p>
      <w:pPr>
        <w:spacing w:line="560" w:lineRule="exact"/>
        <w:ind w:firstLine="560"/>
        <w:rPr>
          <w:rFonts w:ascii="仿宋" w:hAnsi="仿宋" w:eastAsia="仿宋"/>
          <w:sz w:val="32"/>
          <w:szCs w:val="32"/>
        </w:rPr>
      </w:pPr>
      <w:r>
        <w:rPr>
          <w:rFonts w:hint="eastAsia" w:ascii="仿宋" w:hAnsi="仿宋" w:eastAsia="仿宋"/>
          <w:sz w:val="32"/>
          <w:szCs w:val="32"/>
        </w:rPr>
        <w:t>（二）以开展主题教育为引领，坚定全体干部职工的理想信念。深入开展“新一代革命军人样子”大讨论活动，激发全部上下按照“四有”标准树好军人样子的政治热情，增强投身强军兴军实践的内在动力。结合民兵整组，防汛训练等时机。</w:t>
      </w:r>
    </w:p>
    <w:p>
      <w:pPr>
        <w:spacing w:line="560" w:lineRule="exact"/>
        <w:ind w:firstLine="560"/>
        <w:rPr>
          <w:rFonts w:ascii="仿宋" w:hAnsi="仿宋" w:eastAsia="仿宋"/>
          <w:sz w:val="32"/>
          <w:szCs w:val="32"/>
        </w:rPr>
      </w:pPr>
      <w:r>
        <w:rPr>
          <w:rFonts w:hint="eastAsia" w:ascii="仿宋" w:hAnsi="仿宋" w:eastAsia="仿宋"/>
          <w:sz w:val="32"/>
          <w:szCs w:val="32"/>
        </w:rPr>
        <w:t>绩效目标：组织民兵防汛演练，近一步加强抗洪的应变能力。</w:t>
      </w:r>
    </w:p>
    <w:p>
      <w:pPr>
        <w:spacing w:line="560" w:lineRule="exact"/>
        <w:ind w:firstLine="560"/>
        <w:rPr>
          <w:rFonts w:ascii="仿宋" w:hAnsi="仿宋" w:eastAsia="仿宋"/>
          <w:sz w:val="32"/>
          <w:szCs w:val="32"/>
        </w:rPr>
      </w:pPr>
      <w:r>
        <w:rPr>
          <w:rFonts w:hint="eastAsia" w:ascii="仿宋" w:hAnsi="仿宋" w:eastAsia="仿宋"/>
          <w:sz w:val="32"/>
          <w:szCs w:val="32"/>
        </w:rPr>
        <w:t>（三）以优化民兵组织结构为目的，促进整组工作全面落实。组织召开民兵整组工作会议，部署任务并提出明确要求，对专武干部进行业务培训，提高胜任整组工作的能力。组织各镇专武干部外出向先进单位学习，促进基导规范化建设的全方位落实。</w:t>
      </w:r>
    </w:p>
    <w:p>
      <w:pPr>
        <w:spacing w:line="560" w:lineRule="exact"/>
        <w:ind w:firstLine="560"/>
        <w:rPr>
          <w:rFonts w:ascii="仿宋" w:hAnsi="仿宋" w:eastAsia="仿宋"/>
          <w:sz w:val="32"/>
          <w:szCs w:val="32"/>
        </w:rPr>
      </w:pPr>
      <w:r>
        <w:rPr>
          <w:rFonts w:hint="eastAsia" w:ascii="仿宋" w:hAnsi="仿宋" w:eastAsia="仿宋"/>
          <w:sz w:val="32"/>
          <w:szCs w:val="32"/>
        </w:rPr>
        <w:t>绩效目标：组织民兵工作进一步提高民兵的素质能力。</w:t>
      </w:r>
    </w:p>
    <w:p>
      <w:pPr>
        <w:spacing w:line="560" w:lineRule="exact"/>
        <w:ind w:firstLine="560"/>
        <w:rPr>
          <w:rFonts w:ascii="仿宋" w:hAnsi="仿宋" w:eastAsia="仿宋"/>
          <w:sz w:val="32"/>
          <w:szCs w:val="32"/>
        </w:rPr>
      </w:pPr>
      <w:r>
        <w:rPr>
          <w:rFonts w:hint="eastAsia" w:ascii="仿宋" w:hAnsi="仿宋" w:eastAsia="仿宋"/>
          <w:sz w:val="32"/>
          <w:szCs w:val="32"/>
        </w:rPr>
        <w:t>（四）以战备训练工作为抓手，提升应急力量建设水平。按照“抓规范，严标准，重常态”的思路，对值班人员进行学习培训，规范值班秩序，提高日常战备规范化建设水平。抓好平时联合战备值班和节假日，敏感时期战备应急工作，提高正规化意识。坚持按纲施训，分类指导，从严治训，扎实打牢战斗力建设基础，严格落实首长机关训练制度，周密制定《民兵训练方案计划》认真开展训练形势分析，确保每个应急排能一专多能，扎实打牢专业和技能基础。</w:t>
      </w:r>
    </w:p>
    <w:p>
      <w:pPr>
        <w:spacing w:line="560" w:lineRule="exact"/>
        <w:ind w:firstLine="560"/>
        <w:rPr>
          <w:rFonts w:ascii="仿宋" w:hAnsi="仿宋" w:eastAsia="仿宋"/>
          <w:sz w:val="32"/>
          <w:szCs w:val="32"/>
        </w:rPr>
      </w:pPr>
      <w:r>
        <w:rPr>
          <w:rFonts w:hint="eastAsia" w:ascii="仿宋" w:hAnsi="仿宋" w:eastAsia="仿宋"/>
          <w:sz w:val="32"/>
          <w:szCs w:val="32"/>
        </w:rPr>
        <w:t>绩效目标：对战备的值班更规范，更严格，进一步加强战备值班的应变能力。</w:t>
      </w:r>
    </w:p>
    <w:p>
      <w:pPr>
        <w:spacing w:line="560" w:lineRule="exact"/>
        <w:ind w:firstLine="560"/>
        <w:rPr>
          <w:rFonts w:ascii="仿宋" w:hAnsi="仿宋" w:eastAsia="仿宋"/>
          <w:sz w:val="32"/>
          <w:szCs w:val="32"/>
        </w:rPr>
      </w:pPr>
      <w:r>
        <w:rPr>
          <w:rFonts w:hint="eastAsia" w:ascii="仿宋" w:hAnsi="仿宋" w:eastAsia="仿宋"/>
          <w:sz w:val="32"/>
          <w:szCs w:val="32"/>
        </w:rPr>
        <w:t>（五）以参与扶贫开发工作为契机，促进双拥工作有序开展。在扶贫开发工作取得阶段性进展的基础上，继续展开对大厂镇河西营村的帮扶。采取实地查看，与村委班子成员及村民代表座谈，向包村干部了解情况等方式，查找问题，分析原因，谋划帮扶措施。研究制定《大厂县人武部</w:t>
      </w:r>
      <w:r>
        <w:rPr>
          <w:rFonts w:ascii="仿宋" w:hAnsi="仿宋" w:eastAsia="仿宋"/>
          <w:sz w:val="32"/>
          <w:szCs w:val="32"/>
        </w:rPr>
        <w:t>2016</w:t>
      </w:r>
      <w:r>
        <w:rPr>
          <w:rFonts w:hint="eastAsia" w:ascii="仿宋" w:hAnsi="仿宋" w:eastAsia="仿宋"/>
          <w:sz w:val="32"/>
          <w:szCs w:val="32"/>
        </w:rPr>
        <w:t>年持贫开发工作实施方案》。</w:t>
      </w:r>
    </w:p>
    <w:p>
      <w:pPr>
        <w:spacing w:line="560" w:lineRule="exact"/>
        <w:ind w:firstLine="560"/>
        <w:rPr>
          <w:rFonts w:ascii="仿宋" w:hAnsi="仿宋" w:eastAsia="仿宋"/>
          <w:sz w:val="32"/>
          <w:szCs w:val="32"/>
        </w:rPr>
      </w:pPr>
      <w:r>
        <w:rPr>
          <w:rFonts w:hint="eastAsia" w:ascii="仿宋" w:hAnsi="仿宋" w:eastAsia="仿宋"/>
          <w:sz w:val="32"/>
          <w:szCs w:val="32"/>
        </w:rPr>
        <w:t>绩效目标：更快的了解帮扶对象，解决问题，找到帮扶的方案，使优抚政策得到较好的落实。</w:t>
      </w:r>
    </w:p>
    <w:p>
      <w:pPr>
        <w:ind w:firstLine="640" w:firstLineChars="200"/>
        <w:jc w:val="left"/>
        <w:outlineLvl w:val="0"/>
        <w:rPr>
          <w:rFonts w:ascii="仿宋" w:hAnsi="仿宋" w:eastAsia="仿宋"/>
          <w:sz w:val="32"/>
          <w:szCs w:val="32"/>
        </w:rPr>
      </w:pPr>
    </w:p>
    <w:p>
      <w:pPr>
        <w:ind w:firstLine="643" w:firstLineChars="200"/>
        <w:jc w:val="left"/>
        <w:outlineLvl w:val="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、部门职责及工作活动绩效目标指标：</w:t>
      </w:r>
    </w:p>
    <w:p>
      <w:pPr>
        <w:ind w:firstLine="643" w:firstLineChars="200"/>
        <w:jc w:val="left"/>
        <w:outlineLvl w:val="0"/>
        <w:rPr>
          <w:rFonts w:ascii="楷体_GB2312" w:hAnsi="Times New Roman" w:eastAsia="楷体_GB2312"/>
          <w:b/>
          <w:sz w:val="32"/>
          <w:szCs w:val="24"/>
        </w:rPr>
      </w:pP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部门职责</w:t>
      </w:r>
      <w:r>
        <w:rPr>
          <w:rFonts w:ascii="方正小标宋_GBK" w:hAnsi="Times New Roman" w:eastAsia="方正小标宋_GBK"/>
          <w:sz w:val="32"/>
          <w:szCs w:val="24"/>
        </w:rPr>
        <w:t>-</w:t>
      </w:r>
      <w:r>
        <w:rPr>
          <w:rFonts w:hint="eastAsia" w:ascii="方正小标宋_GBK" w:hAnsi="Times New Roman" w:eastAsia="方正小标宋_GBK"/>
          <w:sz w:val="32"/>
          <w:szCs w:val="24"/>
        </w:rPr>
        <w:t>工作活动绩效目标</w:t>
      </w:r>
      <w:bookmarkEnd w:id="0"/>
    </w:p>
    <w:tbl>
      <w:tblPr>
        <w:tblStyle w:val="7"/>
        <w:tblW w:w="98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2"/>
        <w:gridCol w:w="837"/>
        <w:gridCol w:w="1702"/>
        <w:gridCol w:w="1702"/>
        <w:gridCol w:w="930"/>
        <w:gridCol w:w="773"/>
        <w:gridCol w:w="923"/>
        <w:gridCol w:w="987"/>
        <w:gridCol w:w="6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tblHeader/>
          <w:jc w:val="center"/>
        </w:trPr>
        <w:tc>
          <w:tcPr>
            <w:tcW w:w="6493"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801</w:t>
            </w:r>
            <w:r>
              <w:rPr>
                <w:rFonts w:hint="eastAsia" w:ascii="方正小标宋_GBK" w:eastAsia="方正小标宋_GBK"/>
                <w:sz w:val="24"/>
              </w:rPr>
              <w:t>武装部</w:t>
            </w:r>
          </w:p>
        </w:tc>
        <w:tc>
          <w:tcPr>
            <w:tcW w:w="3333"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tblHeader/>
          <w:jc w:val="center"/>
        </w:trPr>
        <w:tc>
          <w:tcPr>
            <w:tcW w:w="1322"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837"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170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1702"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30"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333"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tblHeader/>
          <w:jc w:val="center"/>
        </w:trPr>
        <w:tc>
          <w:tcPr>
            <w:tcW w:w="1322" w:type="dxa"/>
            <w:vMerge w:val="continue"/>
            <w:vAlign w:val="center"/>
          </w:tcPr>
          <w:p>
            <w:pPr>
              <w:spacing w:line="300" w:lineRule="exact"/>
              <w:jc w:val="left"/>
              <w:outlineLvl w:val="0"/>
            </w:pPr>
          </w:p>
        </w:tc>
        <w:tc>
          <w:tcPr>
            <w:tcW w:w="837" w:type="dxa"/>
            <w:vMerge w:val="continue"/>
            <w:vAlign w:val="center"/>
          </w:tcPr>
          <w:p>
            <w:pPr>
              <w:spacing w:line="300" w:lineRule="exact"/>
              <w:jc w:val="left"/>
              <w:outlineLvl w:val="0"/>
            </w:pPr>
          </w:p>
        </w:tc>
        <w:tc>
          <w:tcPr>
            <w:tcW w:w="1702" w:type="dxa"/>
            <w:vMerge w:val="continue"/>
            <w:vAlign w:val="center"/>
          </w:tcPr>
          <w:p>
            <w:pPr>
              <w:spacing w:line="300" w:lineRule="exact"/>
              <w:jc w:val="left"/>
              <w:outlineLvl w:val="0"/>
            </w:pPr>
          </w:p>
        </w:tc>
        <w:tc>
          <w:tcPr>
            <w:tcW w:w="1702" w:type="dxa"/>
            <w:vMerge w:val="continue"/>
            <w:vAlign w:val="center"/>
          </w:tcPr>
          <w:p>
            <w:pPr>
              <w:spacing w:line="300" w:lineRule="exact"/>
              <w:jc w:val="left"/>
              <w:outlineLvl w:val="0"/>
            </w:pPr>
          </w:p>
        </w:tc>
        <w:tc>
          <w:tcPr>
            <w:tcW w:w="930" w:type="dxa"/>
            <w:vMerge w:val="continue"/>
            <w:vAlign w:val="center"/>
          </w:tcPr>
          <w:p>
            <w:pPr>
              <w:spacing w:line="300" w:lineRule="exact"/>
              <w:jc w:val="left"/>
              <w:outlineLvl w:val="0"/>
            </w:pPr>
          </w:p>
        </w:tc>
        <w:tc>
          <w:tcPr>
            <w:tcW w:w="773"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923"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98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650"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jc w:val="center"/>
        </w:trPr>
        <w:tc>
          <w:tcPr>
            <w:tcW w:w="1322" w:type="dxa"/>
            <w:vAlign w:val="center"/>
          </w:tcPr>
          <w:p>
            <w:pPr>
              <w:spacing w:line="300" w:lineRule="exact"/>
              <w:jc w:val="left"/>
              <w:rPr>
                <w:rFonts w:ascii="方正书宋_GBK" w:eastAsia="方正书宋_GBK"/>
                <w:b/>
              </w:rPr>
            </w:pPr>
            <w:r>
              <w:rPr>
                <w:rFonts w:hint="eastAsia" w:ascii="方正书宋_GBK" w:eastAsia="方正书宋_GBK"/>
                <w:b/>
              </w:rPr>
              <w:t>宣传思想工作</w:t>
            </w:r>
          </w:p>
        </w:tc>
        <w:tc>
          <w:tcPr>
            <w:tcW w:w="837" w:type="dxa"/>
            <w:vAlign w:val="center"/>
          </w:tcPr>
          <w:p>
            <w:pPr>
              <w:spacing w:line="300" w:lineRule="exact"/>
              <w:jc w:val="left"/>
              <w:rPr>
                <w:rFonts w:ascii="方正书宋_GBK" w:eastAsia="方正书宋_GBK"/>
              </w:rPr>
            </w:pPr>
            <w:r>
              <w:rPr>
                <w:rFonts w:ascii="方正书宋_GBK" w:eastAsia="方正书宋_GBK"/>
              </w:rPr>
              <w:t>81.00</w:t>
            </w:r>
          </w:p>
        </w:tc>
        <w:tc>
          <w:tcPr>
            <w:tcW w:w="1702" w:type="dxa"/>
            <w:vAlign w:val="center"/>
          </w:tcPr>
          <w:p>
            <w:pPr>
              <w:spacing w:line="300" w:lineRule="exact"/>
              <w:jc w:val="left"/>
              <w:rPr>
                <w:rFonts w:ascii="方正书宋_GBK" w:eastAsia="方正书宋_GBK"/>
              </w:rPr>
            </w:pPr>
            <w:r>
              <w:rPr>
                <w:rFonts w:hint="eastAsia" w:ascii="方正书宋_GBK" w:eastAsia="方正书宋_GBK"/>
              </w:rPr>
              <w:t>指导全市理论研究、理论学习、理论宣传工作；宏观指导精神产品创作生产；规划组织思想政治工作；指导协调宣传思想文化事业和外宣事业发展；加强舆论舆情引导管理；宏观指导协调互联网宣传和信息内容管理；加强精神文明建设。</w:t>
            </w:r>
          </w:p>
        </w:tc>
        <w:tc>
          <w:tcPr>
            <w:tcW w:w="1702" w:type="dxa"/>
            <w:vAlign w:val="center"/>
          </w:tcPr>
          <w:p>
            <w:pPr>
              <w:spacing w:line="300" w:lineRule="exact"/>
              <w:jc w:val="left"/>
              <w:rPr>
                <w:rFonts w:ascii="方正书宋_GBK" w:eastAsia="方正书宋_GBK"/>
              </w:rPr>
            </w:pPr>
            <w:r>
              <w:rPr>
                <w:rFonts w:hint="eastAsia" w:ascii="方正书宋_GBK" w:eastAsia="方正书宋_GBK"/>
              </w:rPr>
              <w:t>牢牢掌握意识形态工作领导权、管理权、话语权，弘扬主旋律，汇聚正能量，为河北经济社会发展提供有力的思想保证、精神动力、舆论支持。</w:t>
            </w:r>
          </w:p>
        </w:tc>
        <w:tc>
          <w:tcPr>
            <w:tcW w:w="930" w:type="dxa"/>
            <w:vAlign w:val="center"/>
          </w:tcPr>
          <w:p>
            <w:pPr>
              <w:spacing w:line="300" w:lineRule="exact"/>
              <w:jc w:val="left"/>
              <w:rPr>
                <w:rFonts w:ascii="方正书宋_GBK" w:eastAsia="方正书宋_GBK"/>
              </w:rPr>
            </w:pPr>
          </w:p>
        </w:tc>
        <w:tc>
          <w:tcPr>
            <w:tcW w:w="773" w:type="dxa"/>
            <w:vAlign w:val="center"/>
          </w:tcPr>
          <w:p>
            <w:pPr>
              <w:spacing w:line="300" w:lineRule="exact"/>
              <w:jc w:val="center"/>
              <w:rPr>
                <w:rFonts w:ascii="方正书宋_GBK" w:eastAsia="方正书宋_GBK"/>
              </w:rPr>
            </w:pPr>
          </w:p>
        </w:tc>
        <w:tc>
          <w:tcPr>
            <w:tcW w:w="923" w:type="dxa"/>
            <w:vAlign w:val="center"/>
          </w:tcPr>
          <w:p>
            <w:pPr>
              <w:spacing w:line="300" w:lineRule="exact"/>
              <w:jc w:val="center"/>
              <w:rPr>
                <w:rFonts w:ascii="方正书宋_GBK" w:eastAsia="方正书宋_GBK"/>
              </w:rPr>
            </w:pPr>
          </w:p>
        </w:tc>
        <w:tc>
          <w:tcPr>
            <w:tcW w:w="987" w:type="dxa"/>
            <w:vAlign w:val="center"/>
          </w:tcPr>
          <w:p>
            <w:pPr>
              <w:spacing w:line="300" w:lineRule="exact"/>
              <w:jc w:val="center"/>
              <w:rPr>
                <w:rFonts w:ascii="方正书宋_GBK" w:eastAsia="方正书宋_GBK"/>
              </w:rPr>
            </w:pPr>
          </w:p>
        </w:tc>
        <w:tc>
          <w:tcPr>
            <w:tcW w:w="65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jc w:val="center"/>
        </w:trPr>
        <w:tc>
          <w:tcPr>
            <w:tcW w:w="1322" w:type="dxa"/>
            <w:vMerge w:val="restart"/>
            <w:vAlign w:val="center"/>
          </w:tcPr>
          <w:p>
            <w:pPr>
              <w:spacing w:line="300" w:lineRule="exact"/>
              <w:jc w:val="left"/>
              <w:rPr>
                <w:rFonts w:ascii="方正书宋_GBK" w:eastAsia="方正书宋_GBK"/>
                <w:b/>
              </w:rPr>
            </w:pPr>
            <w:r>
              <w:rPr>
                <w:rFonts w:hint="eastAsia" w:ascii="方正书宋_GBK" w:eastAsia="方正书宋_GBK"/>
                <w:b/>
              </w:rPr>
              <w:t>　　思想政治工作</w:t>
            </w:r>
          </w:p>
        </w:tc>
        <w:tc>
          <w:tcPr>
            <w:tcW w:w="837" w:type="dxa"/>
            <w:vMerge w:val="restart"/>
            <w:vAlign w:val="center"/>
          </w:tcPr>
          <w:p>
            <w:pPr>
              <w:spacing w:line="300" w:lineRule="exact"/>
              <w:jc w:val="left"/>
              <w:rPr>
                <w:rFonts w:ascii="方正书宋_GBK" w:eastAsia="方正书宋_GBK"/>
              </w:rPr>
            </w:pPr>
            <w:r>
              <w:rPr>
                <w:rFonts w:ascii="方正书宋_GBK" w:eastAsia="方正书宋_GBK"/>
              </w:rPr>
              <w:t>81.00</w:t>
            </w:r>
          </w:p>
        </w:tc>
        <w:tc>
          <w:tcPr>
            <w:tcW w:w="1702" w:type="dxa"/>
            <w:vMerge w:val="restart"/>
            <w:vAlign w:val="center"/>
          </w:tcPr>
          <w:p>
            <w:pPr>
              <w:spacing w:line="300" w:lineRule="exact"/>
              <w:jc w:val="left"/>
              <w:rPr>
                <w:rFonts w:ascii="方正书宋_GBK" w:eastAsia="方正书宋_GBK"/>
              </w:rPr>
            </w:pPr>
            <w:r>
              <w:rPr>
                <w:rFonts w:hint="eastAsia" w:ascii="方正书宋_GBK" w:eastAsia="方正书宋_GBK"/>
              </w:rPr>
              <w:t>规划、部署全市思想政治工作任务，培育和践行社会主义核心价值观，宣传推广全市性先进典型，加强爱国主义教育基地建设和全民国防教育，加强基层党员教育，组织开展系列宣传教育活动。</w:t>
            </w:r>
          </w:p>
        </w:tc>
        <w:tc>
          <w:tcPr>
            <w:tcW w:w="1702" w:type="dxa"/>
            <w:vMerge w:val="restart"/>
            <w:vAlign w:val="center"/>
          </w:tcPr>
          <w:p>
            <w:pPr>
              <w:spacing w:line="300" w:lineRule="exact"/>
              <w:jc w:val="left"/>
              <w:rPr>
                <w:rFonts w:ascii="方正书宋_GBK" w:eastAsia="方正书宋_GBK"/>
              </w:rPr>
            </w:pPr>
            <w:r>
              <w:rPr>
                <w:rFonts w:hint="eastAsia" w:ascii="方正书宋_GBK" w:eastAsia="方正书宋_GBK"/>
              </w:rPr>
              <w:t>完成思想政治工作重大任务，推进社会主义核心价值观落地生根。</w:t>
            </w:r>
          </w:p>
        </w:tc>
        <w:tc>
          <w:tcPr>
            <w:tcW w:w="930" w:type="dxa"/>
            <w:vAlign w:val="center"/>
          </w:tcPr>
          <w:p>
            <w:pPr>
              <w:spacing w:line="300" w:lineRule="exact"/>
              <w:jc w:val="left"/>
              <w:rPr>
                <w:rFonts w:ascii="方正书宋_GBK" w:eastAsia="方正书宋_GBK"/>
              </w:rPr>
            </w:pPr>
            <w:r>
              <w:rPr>
                <w:rFonts w:hint="eastAsia" w:ascii="方正书宋_GBK" w:eastAsia="方正书宋_GBK"/>
              </w:rPr>
              <w:t>组织开展主题宣传教育活动（次）</w:t>
            </w:r>
          </w:p>
        </w:tc>
        <w:tc>
          <w:tcPr>
            <w:tcW w:w="773" w:type="dxa"/>
            <w:vAlign w:val="center"/>
          </w:tcPr>
          <w:p>
            <w:pPr>
              <w:spacing w:line="300" w:lineRule="exact"/>
              <w:jc w:val="center"/>
              <w:rPr>
                <w:rFonts w:ascii="方正书宋_GBK" w:eastAsia="方正书宋_GBK"/>
              </w:rPr>
            </w:pPr>
            <w:r>
              <w:rPr>
                <w:rFonts w:ascii="方正书宋_GBK" w:eastAsia="方正书宋_GBK"/>
              </w:rPr>
              <w:t>3</w:t>
            </w:r>
          </w:p>
        </w:tc>
        <w:tc>
          <w:tcPr>
            <w:tcW w:w="923" w:type="dxa"/>
            <w:vAlign w:val="center"/>
          </w:tcPr>
          <w:p>
            <w:pPr>
              <w:spacing w:line="300" w:lineRule="exact"/>
              <w:jc w:val="center"/>
              <w:rPr>
                <w:rFonts w:ascii="方正书宋_GBK" w:eastAsia="方正书宋_GBK"/>
              </w:rPr>
            </w:pPr>
            <w:r>
              <w:rPr>
                <w:rFonts w:ascii="方正书宋_GBK" w:eastAsia="方正书宋_GBK"/>
              </w:rPr>
              <w:t>2</w:t>
            </w:r>
          </w:p>
        </w:tc>
        <w:tc>
          <w:tcPr>
            <w:tcW w:w="987" w:type="dxa"/>
            <w:vAlign w:val="center"/>
          </w:tcPr>
          <w:p>
            <w:pPr>
              <w:spacing w:line="300" w:lineRule="exact"/>
              <w:jc w:val="center"/>
              <w:rPr>
                <w:rFonts w:ascii="方正书宋_GBK" w:eastAsia="方正书宋_GBK"/>
              </w:rPr>
            </w:pPr>
            <w:r>
              <w:rPr>
                <w:rFonts w:ascii="方正书宋_GBK" w:eastAsia="方正书宋_GBK"/>
              </w:rPr>
              <w:t>1</w:t>
            </w:r>
          </w:p>
        </w:tc>
        <w:tc>
          <w:tcPr>
            <w:tcW w:w="650"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jc w:val="center"/>
        </w:trPr>
        <w:tc>
          <w:tcPr>
            <w:tcW w:w="1322" w:type="dxa"/>
            <w:vMerge w:val="continue"/>
            <w:vAlign w:val="center"/>
          </w:tcPr>
          <w:p>
            <w:pPr>
              <w:spacing w:line="300" w:lineRule="exact"/>
              <w:jc w:val="left"/>
              <w:rPr>
                <w:rFonts w:ascii="方正书宋_GBK" w:eastAsia="方正书宋_GBK"/>
                <w:b/>
              </w:rPr>
            </w:pPr>
          </w:p>
        </w:tc>
        <w:tc>
          <w:tcPr>
            <w:tcW w:w="837" w:type="dxa"/>
            <w:vMerge w:val="continue"/>
            <w:vAlign w:val="center"/>
          </w:tcPr>
          <w:p>
            <w:pPr>
              <w:spacing w:line="300" w:lineRule="exact"/>
              <w:jc w:val="left"/>
              <w:rPr>
                <w:rFonts w:ascii="方正书宋_GBK" w:eastAsia="方正书宋_GBK"/>
              </w:rPr>
            </w:pPr>
          </w:p>
        </w:tc>
        <w:tc>
          <w:tcPr>
            <w:tcW w:w="1702" w:type="dxa"/>
            <w:vMerge w:val="continue"/>
            <w:vAlign w:val="center"/>
          </w:tcPr>
          <w:p>
            <w:pPr>
              <w:spacing w:line="300" w:lineRule="exact"/>
              <w:jc w:val="left"/>
              <w:rPr>
                <w:rFonts w:ascii="方正书宋_GBK" w:eastAsia="方正书宋_GBK"/>
              </w:rPr>
            </w:pPr>
          </w:p>
        </w:tc>
        <w:tc>
          <w:tcPr>
            <w:tcW w:w="1702" w:type="dxa"/>
            <w:vMerge w:val="continue"/>
            <w:vAlign w:val="center"/>
          </w:tcPr>
          <w:p>
            <w:pPr>
              <w:spacing w:line="300" w:lineRule="exact"/>
              <w:jc w:val="left"/>
              <w:rPr>
                <w:rFonts w:ascii="方正书宋_GBK" w:eastAsia="方正书宋_GBK"/>
              </w:rPr>
            </w:pPr>
          </w:p>
        </w:tc>
        <w:tc>
          <w:tcPr>
            <w:tcW w:w="930" w:type="dxa"/>
            <w:vAlign w:val="center"/>
          </w:tcPr>
          <w:p>
            <w:pPr>
              <w:spacing w:line="300" w:lineRule="exact"/>
              <w:jc w:val="left"/>
              <w:rPr>
                <w:rFonts w:ascii="方正书宋_GBK" w:eastAsia="方正书宋_GBK"/>
              </w:rPr>
            </w:pPr>
            <w:r>
              <w:rPr>
                <w:rFonts w:hint="eastAsia" w:ascii="方正书宋_GBK" w:eastAsia="方正书宋_GBK"/>
              </w:rPr>
              <w:t>爱国主义教育基地参观学习人数（万人）</w:t>
            </w:r>
          </w:p>
        </w:tc>
        <w:tc>
          <w:tcPr>
            <w:tcW w:w="773" w:type="dxa"/>
            <w:vAlign w:val="center"/>
          </w:tcPr>
          <w:p>
            <w:pPr>
              <w:spacing w:line="300" w:lineRule="exact"/>
              <w:jc w:val="center"/>
              <w:rPr>
                <w:rFonts w:ascii="方正书宋_GBK" w:eastAsia="方正书宋_GBK"/>
              </w:rPr>
            </w:pPr>
            <w:r>
              <w:rPr>
                <w:rFonts w:ascii="方正书宋_GBK" w:eastAsia="方正书宋_GBK"/>
              </w:rPr>
              <w:t>0.05</w:t>
            </w:r>
          </w:p>
        </w:tc>
        <w:tc>
          <w:tcPr>
            <w:tcW w:w="923" w:type="dxa"/>
            <w:vAlign w:val="center"/>
          </w:tcPr>
          <w:p>
            <w:pPr>
              <w:spacing w:line="300" w:lineRule="exact"/>
              <w:jc w:val="center"/>
              <w:rPr>
                <w:rFonts w:ascii="方正书宋_GBK" w:eastAsia="方正书宋_GBK"/>
              </w:rPr>
            </w:pPr>
            <w:r>
              <w:rPr>
                <w:rFonts w:ascii="方正书宋_GBK" w:eastAsia="方正书宋_GBK"/>
              </w:rPr>
              <w:t>0.03</w:t>
            </w:r>
          </w:p>
        </w:tc>
        <w:tc>
          <w:tcPr>
            <w:tcW w:w="987" w:type="dxa"/>
            <w:vAlign w:val="center"/>
          </w:tcPr>
          <w:p>
            <w:pPr>
              <w:spacing w:line="300" w:lineRule="exact"/>
              <w:jc w:val="center"/>
              <w:rPr>
                <w:rFonts w:ascii="方正书宋_GBK" w:eastAsia="方正书宋_GBK"/>
              </w:rPr>
            </w:pPr>
            <w:r>
              <w:rPr>
                <w:rFonts w:ascii="方正书宋_GBK" w:eastAsia="方正书宋_GBK"/>
              </w:rPr>
              <w:t>0.02</w:t>
            </w:r>
          </w:p>
        </w:tc>
        <w:tc>
          <w:tcPr>
            <w:tcW w:w="650" w:type="dxa"/>
            <w:vAlign w:val="center"/>
          </w:tcPr>
          <w:p>
            <w:pPr>
              <w:spacing w:line="300" w:lineRule="exact"/>
              <w:jc w:val="center"/>
              <w:rPr>
                <w:rFonts w:ascii="方正书宋_GBK" w:eastAsia="方正书宋_GBK"/>
              </w:rPr>
            </w:pPr>
            <w:r>
              <w:rPr>
                <w:rFonts w:ascii="方正书宋_GBK" w:eastAsia="方正书宋_GBK"/>
              </w:rPr>
              <w:t>0.02</w:t>
            </w:r>
            <w:r>
              <w:rPr>
                <w:rFonts w:hint="eastAsia" w:ascii="方正书宋_GBK" w:eastAsia="方正书宋_GBK"/>
              </w:rPr>
              <w:t>万人以下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0" w:hRule="atLeast"/>
          <w:jc w:val="center"/>
        </w:trPr>
        <w:tc>
          <w:tcPr>
            <w:tcW w:w="1322" w:type="dxa"/>
            <w:vMerge w:val="continue"/>
            <w:vAlign w:val="center"/>
          </w:tcPr>
          <w:p>
            <w:pPr>
              <w:spacing w:line="300" w:lineRule="exact"/>
              <w:jc w:val="left"/>
              <w:rPr>
                <w:rFonts w:ascii="方正书宋_GBK" w:eastAsia="方正书宋_GBK"/>
                <w:b/>
              </w:rPr>
            </w:pPr>
          </w:p>
        </w:tc>
        <w:tc>
          <w:tcPr>
            <w:tcW w:w="837" w:type="dxa"/>
            <w:vMerge w:val="continue"/>
            <w:vAlign w:val="center"/>
          </w:tcPr>
          <w:p>
            <w:pPr>
              <w:spacing w:line="300" w:lineRule="exact"/>
              <w:jc w:val="left"/>
              <w:rPr>
                <w:rFonts w:ascii="方正书宋_GBK" w:eastAsia="方正书宋_GBK"/>
              </w:rPr>
            </w:pPr>
          </w:p>
        </w:tc>
        <w:tc>
          <w:tcPr>
            <w:tcW w:w="1702" w:type="dxa"/>
            <w:vMerge w:val="continue"/>
            <w:vAlign w:val="center"/>
          </w:tcPr>
          <w:p>
            <w:pPr>
              <w:spacing w:line="300" w:lineRule="exact"/>
              <w:jc w:val="left"/>
              <w:rPr>
                <w:rFonts w:ascii="方正书宋_GBK" w:eastAsia="方正书宋_GBK"/>
              </w:rPr>
            </w:pPr>
          </w:p>
        </w:tc>
        <w:tc>
          <w:tcPr>
            <w:tcW w:w="1702" w:type="dxa"/>
            <w:vMerge w:val="continue"/>
            <w:vAlign w:val="center"/>
          </w:tcPr>
          <w:p>
            <w:pPr>
              <w:spacing w:line="300" w:lineRule="exact"/>
              <w:jc w:val="left"/>
              <w:rPr>
                <w:rFonts w:ascii="方正书宋_GBK" w:eastAsia="方正书宋_GBK"/>
              </w:rPr>
            </w:pPr>
          </w:p>
        </w:tc>
        <w:tc>
          <w:tcPr>
            <w:tcW w:w="930" w:type="dxa"/>
            <w:vAlign w:val="center"/>
          </w:tcPr>
          <w:p>
            <w:pPr>
              <w:spacing w:line="300" w:lineRule="exact"/>
              <w:jc w:val="left"/>
              <w:rPr>
                <w:rFonts w:ascii="方正书宋_GBK" w:eastAsia="方正书宋_GBK"/>
              </w:rPr>
            </w:pPr>
            <w:r>
              <w:rPr>
                <w:rFonts w:hint="eastAsia" w:ascii="方正书宋_GBK" w:eastAsia="方正书宋_GBK"/>
              </w:rPr>
              <w:t>社会主义核心价值观内容在全社会普及率</w:t>
            </w:r>
          </w:p>
        </w:tc>
        <w:tc>
          <w:tcPr>
            <w:tcW w:w="773" w:type="dxa"/>
            <w:vAlign w:val="center"/>
          </w:tcPr>
          <w:p>
            <w:pPr>
              <w:spacing w:line="300" w:lineRule="exact"/>
              <w:jc w:val="center"/>
              <w:rPr>
                <w:rFonts w:ascii="方正书宋_GBK" w:eastAsia="方正书宋_GBK"/>
              </w:rPr>
            </w:pPr>
            <w:r>
              <w:rPr>
                <w:rFonts w:ascii="方正书宋_GBK" w:eastAsia="方正书宋_GBK"/>
              </w:rPr>
              <w:t>100%</w:t>
            </w:r>
          </w:p>
        </w:tc>
        <w:tc>
          <w:tcPr>
            <w:tcW w:w="923" w:type="dxa"/>
            <w:vAlign w:val="center"/>
          </w:tcPr>
          <w:p>
            <w:pPr>
              <w:spacing w:line="300" w:lineRule="exact"/>
              <w:jc w:val="center"/>
              <w:rPr>
                <w:rFonts w:ascii="方正书宋_GBK" w:eastAsia="方正书宋_GBK"/>
              </w:rPr>
            </w:pPr>
            <w:r>
              <w:rPr>
                <w:rFonts w:ascii="方正书宋_GBK" w:eastAsia="方正书宋_GBK"/>
              </w:rPr>
              <w:t>80-905</w:t>
            </w:r>
          </w:p>
        </w:tc>
        <w:tc>
          <w:tcPr>
            <w:tcW w:w="987" w:type="dxa"/>
            <w:vAlign w:val="center"/>
          </w:tcPr>
          <w:p>
            <w:pPr>
              <w:spacing w:line="300" w:lineRule="exact"/>
              <w:jc w:val="center"/>
              <w:rPr>
                <w:rFonts w:ascii="方正书宋_GBK" w:eastAsia="方正书宋_GBK"/>
              </w:rPr>
            </w:pPr>
            <w:r>
              <w:rPr>
                <w:rFonts w:ascii="方正书宋_GBK" w:eastAsia="方正书宋_GBK"/>
              </w:rPr>
              <w:t>60-80%</w:t>
            </w:r>
          </w:p>
        </w:tc>
        <w:tc>
          <w:tcPr>
            <w:tcW w:w="650"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outlineLvl w:val="0"/>
        <w:rPr>
          <w:rFonts w:ascii="仿宋" w:hAnsi="仿宋" w:eastAsia="仿宋"/>
          <w:sz w:val="32"/>
          <w:szCs w:val="24"/>
        </w:rPr>
      </w:pPr>
      <w:bookmarkStart w:id="1" w:name="_Toc471398468"/>
      <w:r>
        <w:rPr>
          <w:rFonts w:ascii="Times New Roman" w:hAnsi="Times New Roman" w:eastAsia="方正仿宋_GBK"/>
          <w:sz w:val="32"/>
          <w:szCs w:val="24"/>
        </w:rPr>
        <w:t xml:space="preserve">  </w:t>
      </w:r>
      <w:r>
        <w:rPr>
          <w:rFonts w:ascii="仿宋" w:hAnsi="仿宋" w:eastAsia="仿宋"/>
          <w:sz w:val="32"/>
          <w:szCs w:val="24"/>
        </w:rPr>
        <w:t xml:space="preserve"> 2017</w:t>
      </w:r>
      <w:r>
        <w:rPr>
          <w:rFonts w:hint="eastAsia" w:ascii="仿宋" w:hAnsi="仿宋" w:eastAsia="仿宋"/>
          <w:sz w:val="32"/>
          <w:szCs w:val="24"/>
        </w:rPr>
        <w:t>年，我部未安排政府采购预算。</w:t>
      </w:r>
      <w:bookmarkEnd w:id="1"/>
    </w:p>
    <w:p>
      <w:pPr>
        <w:autoSpaceDE w:val="0"/>
        <w:autoSpaceDN w:val="0"/>
        <w:adjustRightInd w:val="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七、国有资产信息</w:t>
      </w:r>
    </w:p>
    <w:p>
      <w:pPr>
        <w:ind w:firstLine="640"/>
        <w:rPr>
          <w:rFonts w:ascii="仿宋" w:hAnsi="仿宋" w:eastAsia="仿宋"/>
          <w:sz w:val="32"/>
          <w:szCs w:val="32"/>
        </w:rPr>
      </w:pPr>
      <w:r>
        <w:rPr>
          <w:rFonts w:hint="eastAsia" w:ascii="仿宋" w:hAnsi="仿宋" w:eastAsia="仿宋"/>
          <w:sz w:val="32"/>
          <w:szCs w:val="32"/>
          <w:lang w:val="en-US" w:eastAsia="zh-CN"/>
        </w:rPr>
        <w:t>廊坊市</w:t>
      </w:r>
      <w:r>
        <w:rPr>
          <w:rFonts w:hint="eastAsia" w:ascii="仿宋" w:hAnsi="仿宋" w:eastAsia="仿宋"/>
          <w:sz w:val="32"/>
          <w:szCs w:val="32"/>
        </w:rPr>
        <w:t>大厂回族自治县人民武装部上年末固定资产金额为</w:t>
      </w:r>
      <w:r>
        <w:rPr>
          <w:rFonts w:ascii="仿宋" w:hAnsi="仿宋" w:eastAsia="仿宋"/>
          <w:sz w:val="32"/>
          <w:szCs w:val="32"/>
        </w:rPr>
        <w:t>357.05</w:t>
      </w:r>
      <w:r>
        <w:rPr>
          <w:rFonts w:hint="eastAsia" w:ascii="仿宋" w:hAnsi="仿宋" w:eastAsia="仿宋"/>
          <w:sz w:val="32"/>
          <w:szCs w:val="32"/>
        </w:rPr>
        <w:t>万元，</w:t>
      </w:r>
      <w:r>
        <w:rPr>
          <w:rFonts w:hint="eastAsia" w:ascii="仿宋" w:hAnsi="仿宋" w:eastAsia="仿宋"/>
          <w:sz w:val="32"/>
          <w:szCs w:val="32"/>
          <w:lang w:val="en-US" w:eastAsia="zh-CN"/>
        </w:rPr>
        <w:t>2017年度无</w:t>
      </w:r>
      <w:r>
        <w:rPr>
          <w:rFonts w:hint="eastAsia" w:ascii="仿宋" w:hAnsi="仿宋" w:eastAsia="仿宋"/>
          <w:sz w:val="32"/>
          <w:szCs w:val="32"/>
        </w:rPr>
        <w:t>购置固定资</w:t>
      </w:r>
      <w:r>
        <w:rPr>
          <w:rFonts w:hint="eastAsia" w:ascii="仿宋" w:hAnsi="仿宋" w:eastAsia="仿宋"/>
          <w:sz w:val="32"/>
          <w:szCs w:val="32"/>
          <w:lang w:eastAsia="zh-CN"/>
        </w:rPr>
        <w:t>。</w:t>
      </w:r>
      <w:r>
        <w:rPr>
          <w:rFonts w:hint="eastAsia" w:ascii="仿宋" w:hAnsi="仿宋" w:eastAsia="仿宋"/>
          <w:sz w:val="32"/>
          <w:szCs w:val="32"/>
        </w:rPr>
        <w:t>产详见下表。</w:t>
      </w:r>
    </w:p>
    <w:tbl>
      <w:tblPr>
        <w:tblStyle w:val="7"/>
        <w:tblW w:w="9467" w:type="dxa"/>
        <w:jc w:val="center"/>
        <w:tblInd w:w="0" w:type="dxa"/>
        <w:tblLayout w:type="fixed"/>
        <w:tblCellMar>
          <w:top w:w="0" w:type="dxa"/>
          <w:left w:w="108" w:type="dxa"/>
          <w:bottom w:w="0" w:type="dxa"/>
          <w:right w:w="108" w:type="dxa"/>
        </w:tblCellMar>
      </w:tblPr>
      <w:tblGrid>
        <w:gridCol w:w="3219"/>
        <w:gridCol w:w="1970"/>
        <w:gridCol w:w="4278"/>
      </w:tblGrid>
      <w:tr>
        <w:tblPrEx>
          <w:tblLayout w:type="fixed"/>
          <w:tblCellMar>
            <w:top w:w="0" w:type="dxa"/>
            <w:left w:w="108" w:type="dxa"/>
            <w:bottom w:w="0" w:type="dxa"/>
            <w:right w:w="108" w:type="dxa"/>
          </w:tblCellMar>
        </w:tblPrEx>
        <w:trPr>
          <w:trHeight w:val="551" w:hRule="atLeast"/>
          <w:jc w:val="center"/>
        </w:trPr>
        <w:tc>
          <w:tcPr>
            <w:tcW w:w="9467"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398" w:hRule="atLeast"/>
          <w:jc w:val="center"/>
        </w:trPr>
        <w:tc>
          <w:tcPr>
            <w:tcW w:w="518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编制部门：河北省大厂县人民武装部</w:t>
            </w:r>
          </w:p>
        </w:tc>
        <w:tc>
          <w:tcPr>
            <w:tcW w:w="4278"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2016</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503" w:hRule="atLeast"/>
          <w:jc w:val="center"/>
        </w:trPr>
        <w:tc>
          <w:tcPr>
            <w:tcW w:w="32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1970"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4278"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503" w:hRule="atLeast"/>
          <w:jc w:val="center"/>
        </w:trPr>
        <w:tc>
          <w:tcPr>
            <w:tcW w:w="3219"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197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4278"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357.05</w:t>
            </w:r>
          </w:p>
        </w:tc>
      </w:tr>
      <w:tr>
        <w:tblPrEx>
          <w:tblLayout w:type="fixed"/>
          <w:tblCellMar>
            <w:top w:w="0" w:type="dxa"/>
            <w:left w:w="108" w:type="dxa"/>
            <w:bottom w:w="0" w:type="dxa"/>
            <w:right w:w="108" w:type="dxa"/>
          </w:tblCellMar>
        </w:tblPrEx>
        <w:trPr>
          <w:trHeight w:val="503" w:hRule="atLeast"/>
          <w:jc w:val="center"/>
        </w:trPr>
        <w:tc>
          <w:tcPr>
            <w:tcW w:w="321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197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4515</w:t>
            </w:r>
          </w:p>
        </w:tc>
        <w:tc>
          <w:tcPr>
            <w:tcW w:w="427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248</w:t>
            </w:r>
          </w:p>
        </w:tc>
      </w:tr>
      <w:tr>
        <w:tblPrEx>
          <w:tblLayout w:type="fixed"/>
          <w:tblCellMar>
            <w:top w:w="0" w:type="dxa"/>
            <w:left w:w="108" w:type="dxa"/>
            <w:bottom w:w="0" w:type="dxa"/>
            <w:right w:w="108" w:type="dxa"/>
          </w:tblCellMar>
        </w:tblPrEx>
        <w:trPr>
          <w:trHeight w:val="503" w:hRule="atLeast"/>
          <w:jc w:val="center"/>
        </w:trPr>
        <w:tc>
          <w:tcPr>
            <w:tcW w:w="321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197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4515</w:t>
            </w:r>
          </w:p>
        </w:tc>
        <w:tc>
          <w:tcPr>
            <w:tcW w:w="427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248</w:t>
            </w:r>
          </w:p>
        </w:tc>
      </w:tr>
      <w:tr>
        <w:tblPrEx>
          <w:tblLayout w:type="fixed"/>
          <w:tblCellMar>
            <w:top w:w="0" w:type="dxa"/>
            <w:left w:w="108" w:type="dxa"/>
            <w:bottom w:w="0" w:type="dxa"/>
            <w:right w:w="108" w:type="dxa"/>
          </w:tblCellMar>
        </w:tblPrEx>
        <w:trPr>
          <w:trHeight w:val="503" w:hRule="atLeast"/>
          <w:jc w:val="center"/>
        </w:trPr>
        <w:tc>
          <w:tcPr>
            <w:tcW w:w="321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1970"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w:t>
            </w:r>
          </w:p>
        </w:tc>
        <w:tc>
          <w:tcPr>
            <w:tcW w:w="427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42</w:t>
            </w:r>
          </w:p>
        </w:tc>
      </w:tr>
      <w:tr>
        <w:tblPrEx>
          <w:tblLayout w:type="fixed"/>
          <w:tblCellMar>
            <w:top w:w="0" w:type="dxa"/>
            <w:left w:w="108" w:type="dxa"/>
            <w:bottom w:w="0" w:type="dxa"/>
            <w:right w:w="108" w:type="dxa"/>
          </w:tblCellMar>
        </w:tblPrEx>
        <w:trPr>
          <w:trHeight w:val="503" w:hRule="atLeast"/>
          <w:jc w:val="center"/>
        </w:trPr>
        <w:tc>
          <w:tcPr>
            <w:tcW w:w="321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1970"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4278"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503" w:hRule="atLeast"/>
          <w:jc w:val="center"/>
        </w:trPr>
        <w:tc>
          <w:tcPr>
            <w:tcW w:w="321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1970"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4278"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67.05</w:t>
            </w:r>
          </w:p>
        </w:tc>
      </w:tr>
    </w:tbl>
    <w:p>
      <w:pPr>
        <w:rPr>
          <w:rFonts w:ascii="仿宋_GB2312" w:hAnsi="黑体" w:eastAsia="仿宋_GB2312"/>
          <w:color w:val="FF0000"/>
          <w:sz w:val="32"/>
          <w:szCs w:val="32"/>
        </w:rPr>
      </w:pPr>
    </w:p>
    <w:p>
      <w:pPr>
        <w:autoSpaceDE w:val="0"/>
        <w:autoSpaceDN w:val="0"/>
        <w:adjustRightInd w:val="0"/>
        <w:ind w:firstLine="480" w:firstLineChars="150"/>
        <w:jc w:val="left"/>
        <w:rPr>
          <w:rFonts w:ascii="黑体" w:hAnsi="黑体" w:eastAsia="黑体"/>
          <w:sz w:val="32"/>
          <w:szCs w:val="32"/>
        </w:rPr>
      </w:pPr>
      <w:r>
        <w:rPr>
          <w:rFonts w:hint="eastAsia" w:ascii="黑体" w:hAnsi="黑体" w:eastAsia="黑体"/>
          <w:sz w:val="32"/>
          <w:szCs w:val="32"/>
        </w:rPr>
        <w:t>八、名词解释</w:t>
      </w:r>
    </w:p>
    <w:p>
      <w:pPr>
        <w:adjustRightInd w:val="0"/>
        <w:snapToGrid w:val="0"/>
        <w:spacing w:line="540" w:lineRule="exact"/>
        <w:ind w:firstLine="643" w:firstLineChars="200"/>
        <w:rPr>
          <w:rFonts w:ascii="仿宋" w:hAnsi="仿宋" w:eastAsia="仿宋"/>
          <w:snapToGrid w:val="0"/>
          <w:kern w:val="0"/>
          <w:sz w:val="32"/>
          <w:szCs w:val="32"/>
        </w:rPr>
      </w:pPr>
      <w:r>
        <w:rPr>
          <w:rFonts w:hint="eastAsia" w:ascii="楷体" w:hAnsi="楷体" w:eastAsia="楷体"/>
          <w:b/>
          <w:snapToGrid w:val="0"/>
          <w:kern w:val="0"/>
          <w:sz w:val="32"/>
          <w:szCs w:val="32"/>
        </w:rPr>
        <w:t>“一般公共服务支出”</w:t>
      </w:r>
      <w:r>
        <w:rPr>
          <w:rFonts w:ascii="宋体" w:hAnsi="宋体"/>
          <w:snapToGrid w:val="0"/>
          <w:kern w:val="0"/>
          <w:sz w:val="32"/>
          <w:szCs w:val="32"/>
        </w:rPr>
        <w:t xml:space="preserve"> </w:t>
      </w:r>
      <w:r>
        <w:rPr>
          <w:rFonts w:hint="eastAsia" w:ascii="仿宋" w:hAnsi="仿宋" w:eastAsia="仿宋"/>
          <w:snapToGrid w:val="0"/>
          <w:kern w:val="0"/>
          <w:sz w:val="32"/>
          <w:szCs w:val="32"/>
        </w:rPr>
        <w:t>一般公共服务支出主要用于保障机关事业单位正常运转，支持各机关单位履行职能，保障各机关部门的项目支出需要，以及支持地方落实自主择业军转干部退役金等。</w:t>
      </w:r>
    </w:p>
    <w:p>
      <w:pPr>
        <w:adjustRightInd w:val="0"/>
        <w:snapToGrid w:val="0"/>
        <w:spacing w:line="540" w:lineRule="exact"/>
        <w:ind w:firstLine="643" w:firstLineChars="200"/>
        <w:rPr>
          <w:rFonts w:ascii="楷体" w:hAnsi="楷体" w:eastAsia="楷体"/>
          <w:snapToGrid w:val="0"/>
          <w:kern w:val="0"/>
          <w:sz w:val="32"/>
          <w:szCs w:val="32"/>
        </w:rPr>
      </w:pPr>
      <w:r>
        <w:rPr>
          <w:rFonts w:hint="eastAsia" w:ascii="楷体" w:hAnsi="楷体" w:eastAsia="楷体"/>
          <w:b/>
          <w:snapToGrid w:val="0"/>
          <w:kern w:val="0"/>
          <w:sz w:val="32"/>
          <w:szCs w:val="32"/>
        </w:rPr>
        <w:t>“政府性基金”</w:t>
      </w:r>
      <w:r>
        <w:rPr>
          <w:rFonts w:ascii="仿宋" w:hAnsi="仿宋" w:eastAsia="仿宋"/>
          <w:snapToGrid w:val="0"/>
          <w:kern w:val="0"/>
          <w:sz w:val="32"/>
          <w:szCs w:val="32"/>
        </w:rPr>
        <w:t xml:space="preserve"> </w:t>
      </w:r>
      <w:r>
        <w:rPr>
          <w:rFonts w:hint="eastAsia" w:ascii="仿宋" w:hAnsi="仿宋" w:eastAsia="仿宋"/>
          <w:snapToGrid w:val="0"/>
          <w:kern w:val="0"/>
          <w:sz w:val="32"/>
          <w:szCs w:val="32"/>
        </w:rPr>
        <w:t>是指各级人民政府及其所属部门根据法律、国家行政法规和中共中央、国务院有关文件的规定，为支持某项事业发展，按照国家规定程序批准，向公民、法人和其他组织征收的具有专项用途的资金。包括各种基金、资金、附加和专项收费</w:t>
      </w:r>
      <w:r>
        <w:rPr>
          <w:rFonts w:hint="eastAsia" w:ascii="楷体" w:hAnsi="楷体" w:eastAsia="楷体"/>
          <w:snapToGrid w:val="0"/>
          <w:kern w:val="0"/>
          <w:sz w:val="32"/>
          <w:szCs w:val="32"/>
        </w:rPr>
        <w:t>。</w:t>
      </w:r>
    </w:p>
    <w:p>
      <w:pPr>
        <w:adjustRightInd w:val="0"/>
        <w:snapToGrid w:val="0"/>
        <w:spacing w:line="540" w:lineRule="exact"/>
        <w:ind w:firstLine="643" w:firstLineChars="200"/>
        <w:rPr>
          <w:rFonts w:ascii="楷体" w:hAnsi="楷体" w:eastAsia="楷体"/>
          <w:snapToGrid w:val="0"/>
          <w:kern w:val="0"/>
          <w:sz w:val="32"/>
          <w:szCs w:val="32"/>
        </w:rPr>
      </w:pPr>
      <w:r>
        <w:rPr>
          <w:rFonts w:hint="eastAsia" w:ascii="楷体" w:hAnsi="楷体" w:eastAsia="楷体"/>
          <w:b/>
          <w:snapToGrid w:val="0"/>
          <w:kern w:val="0"/>
          <w:sz w:val="32"/>
          <w:szCs w:val="32"/>
        </w:rPr>
        <w:t>“国有资本经营”</w:t>
      </w:r>
      <w:r>
        <w:rPr>
          <w:rFonts w:hint="eastAsia" w:ascii="仿宋" w:hAnsi="仿宋" w:eastAsia="仿宋"/>
          <w:snapToGrid w:val="0"/>
          <w:kern w:val="0"/>
          <w:sz w:val="32"/>
          <w:szCs w:val="32"/>
        </w:rPr>
        <w:t>是指以国有资本为经营和使用对象，在保证国有资本安全的前提下，通过对国有资本的运作，取得国有资本增值、实现最大经济效益和社会效益的活动。国有资本经营侧重于经营性国有资本，国有资本使用侧重于非经营性国有资本。</w:t>
      </w:r>
    </w:p>
    <w:p>
      <w:pPr>
        <w:adjustRightInd w:val="0"/>
        <w:snapToGrid w:val="0"/>
        <w:spacing w:line="540" w:lineRule="exact"/>
        <w:ind w:firstLine="643" w:firstLineChars="200"/>
        <w:rPr>
          <w:rFonts w:ascii="仿宋" w:hAnsi="仿宋" w:eastAsia="仿宋"/>
          <w:snapToGrid w:val="0"/>
          <w:kern w:val="0"/>
          <w:sz w:val="32"/>
          <w:szCs w:val="32"/>
        </w:rPr>
      </w:pPr>
      <w:r>
        <w:rPr>
          <w:rFonts w:hint="eastAsia" w:ascii="楷体" w:hAnsi="楷体" w:eastAsia="楷体"/>
          <w:b/>
          <w:snapToGrid w:val="0"/>
          <w:kern w:val="0"/>
          <w:sz w:val="32"/>
          <w:szCs w:val="32"/>
        </w:rPr>
        <w:t>“三公经费”</w:t>
      </w:r>
      <w:r>
        <w:rPr>
          <w:rFonts w:ascii="仿宋" w:hAnsi="仿宋" w:eastAsia="仿宋"/>
          <w:snapToGrid w:val="0"/>
          <w:kern w:val="0"/>
          <w:sz w:val="32"/>
          <w:szCs w:val="32"/>
        </w:rPr>
        <w:t xml:space="preserve"> </w:t>
      </w:r>
      <w:r>
        <w:rPr>
          <w:rFonts w:hint="eastAsia" w:ascii="仿宋" w:hAnsi="仿宋" w:eastAsia="仿宋"/>
          <w:snapToGrid w:val="0"/>
          <w:kern w:val="0"/>
          <w:sz w:val="32"/>
          <w:szCs w:val="32"/>
        </w:rPr>
        <w:t>是指财政拨款支出安排的出国（境）费、车辆购置及运行费、公务接待费这三项经费。</w:t>
      </w:r>
    </w:p>
    <w:p>
      <w:pPr>
        <w:adjustRightInd w:val="0"/>
        <w:snapToGrid w:val="0"/>
        <w:spacing w:line="540" w:lineRule="exact"/>
        <w:ind w:firstLine="643" w:firstLineChars="200"/>
        <w:rPr>
          <w:rFonts w:ascii="楷体" w:hAnsi="楷体" w:eastAsia="楷体"/>
          <w:snapToGrid w:val="0"/>
          <w:kern w:val="0"/>
          <w:sz w:val="32"/>
          <w:szCs w:val="32"/>
        </w:rPr>
      </w:pPr>
      <w:r>
        <w:rPr>
          <w:rFonts w:hint="eastAsia" w:ascii="楷体" w:hAnsi="楷体" w:eastAsia="楷体"/>
          <w:b/>
          <w:snapToGrid w:val="0"/>
          <w:kern w:val="0"/>
          <w:sz w:val="32"/>
          <w:szCs w:val="32"/>
        </w:rPr>
        <w:t>“绩效预算”</w:t>
      </w:r>
      <w:r>
        <w:rPr>
          <w:rFonts w:ascii="楷体" w:hAnsi="楷体" w:eastAsia="楷体"/>
          <w:snapToGrid w:val="0"/>
          <w:kern w:val="0"/>
          <w:sz w:val="32"/>
          <w:szCs w:val="32"/>
        </w:rPr>
        <w:t xml:space="preserve"> </w:t>
      </w:r>
      <w:r>
        <w:rPr>
          <w:rFonts w:hint="eastAsia" w:ascii="仿宋" w:hAnsi="仿宋" w:eastAsia="仿宋"/>
          <w:snapToGrid w:val="0"/>
          <w:kern w:val="0"/>
          <w:sz w:val="32"/>
          <w:szCs w:val="32"/>
        </w:rPr>
        <w:t>就是政府首先制定有关的事业计划和工程计划，再依据政府职能和施政计划制定计划实施方案，并在成本效益分析的基础上确定实施方案所需费用来编制预算的一种方法。</w:t>
      </w:r>
    </w:p>
    <w:p>
      <w:pPr>
        <w:widowControl/>
        <w:spacing w:line="500" w:lineRule="exact"/>
        <w:ind w:firstLine="640" w:firstLineChars="200"/>
        <w:jc w:val="left"/>
        <w:rPr>
          <w:rFonts w:ascii="仿宋" w:hAnsi="仿宋" w:eastAsia="仿宋" w:cs="宋体"/>
          <w:color w:val="484747"/>
          <w:sz w:val="32"/>
          <w:szCs w:val="32"/>
          <w:shd w:val="clear" w:color="auto" w:fill="FFFFFF"/>
        </w:rPr>
      </w:pPr>
      <w:r>
        <w:rPr>
          <w:rFonts w:hint="eastAsia" w:ascii="黑体" w:hAnsi="黑体" w:eastAsia="黑体"/>
          <w:sz w:val="32"/>
          <w:szCs w:val="32"/>
        </w:rPr>
        <w:t>九、其它需要说明的事项</w:t>
      </w:r>
    </w:p>
    <w:p>
      <w:pPr>
        <w:tabs>
          <w:tab w:val="left" w:pos="11490"/>
        </w:tabs>
        <w:ind w:firstLine="640" w:firstLineChars="200"/>
        <w:rPr>
          <w:rFonts w:ascii="仿宋" w:hAnsi="仿宋" w:eastAsia="仿宋"/>
          <w:sz w:val="32"/>
          <w:szCs w:val="32"/>
        </w:rPr>
      </w:pPr>
      <w:r>
        <w:rPr>
          <w:rFonts w:hint="eastAsia" w:ascii="仿宋" w:hAnsi="仿宋" w:eastAsia="仿宋"/>
          <w:sz w:val="32"/>
          <w:szCs w:val="32"/>
        </w:rPr>
        <w:t>无其它需要说明的事项。</w:t>
      </w:r>
    </w:p>
    <w:sectPr>
      <w:pgSz w:w="16838" w:h="11906" w:orient="landscape"/>
      <w:pgMar w:top="1712" w:right="1440" w:bottom="1559"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宋体-方正超大字符集">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37AF6"/>
    <w:rsid w:val="00045A61"/>
    <w:rsid w:val="00070A85"/>
    <w:rsid w:val="00075019"/>
    <w:rsid w:val="00075D5F"/>
    <w:rsid w:val="000908E6"/>
    <w:rsid w:val="000C3A19"/>
    <w:rsid w:val="000D3ECD"/>
    <w:rsid w:val="001245BB"/>
    <w:rsid w:val="0018479D"/>
    <w:rsid w:val="001D403F"/>
    <w:rsid w:val="001E53D0"/>
    <w:rsid w:val="001F3D8E"/>
    <w:rsid w:val="00201C35"/>
    <w:rsid w:val="00241FD4"/>
    <w:rsid w:val="00251B12"/>
    <w:rsid w:val="002605B7"/>
    <w:rsid w:val="00262257"/>
    <w:rsid w:val="002645FB"/>
    <w:rsid w:val="00296113"/>
    <w:rsid w:val="002E1144"/>
    <w:rsid w:val="002F3E58"/>
    <w:rsid w:val="0030542C"/>
    <w:rsid w:val="00311B7A"/>
    <w:rsid w:val="00341C10"/>
    <w:rsid w:val="003E1A7F"/>
    <w:rsid w:val="003E346A"/>
    <w:rsid w:val="003F2A7A"/>
    <w:rsid w:val="00407D7F"/>
    <w:rsid w:val="00451871"/>
    <w:rsid w:val="00472923"/>
    <w:rsid w:val="0049648B"/>
    <w:rsid w:val="004E2836"/>
    <w:rsid w:val="004E3066"/>
    <w:rsid w:val="004E74CD"/>
    <w:rsid w:val="00523739"/>
    <w:rsid w:val="00527BF6"/>
    <w:rsid w:val="00542603"/>
    <w:rsid w:val="00573562"/>
    <w:rsid w:val="0057685F"/>
    <w:rsid w:val="005A370E"/>
    <w:rsid w:val="005D059E"/>
    <w:rsid w:val="00614A29"/>
    <w:rsid w:val="006D6161"/>
    <w:rsid w:val="006D6CD9"/>
    <w:rsid w:val="00730CEB"/>
    <w:rsid w:val="0075393C"/>
    <w:rsid w:val="00776C08"/>
    <w:rsid w:val="0078654F"/>
    <w:rsid w:val="007B4EE0"/>
    <w:rsid w:val="007C4DD6"/>
    <w:rsid w:val="007E1DA8"/>
    <w:rsid w:val="007F6C26"/>
    <w:rsid w:val="008334AE"/>
    <w:rsid w:val="00836FED"/>
    <w:rsid w:val="00845CD2"/>
    <w:rsid w:val="008502D8"/>
    <w:rsid w:val="00852B0D"/>
    <w:rsid w:val="00881692"/>
    <w:rsid w:val="008B3CC5"/>
    <w:rsid w:val="008C2BAF"/>
    <w:rsid w:val="008E4261"/>
    <w:rsid w:val="008F4662"/>
    <w:rsid w:val="00905D08"/>
    <w:rsid w:val="00925753"/>
    <w:rsid w:val="00966C5C"/>
    <w:rsid w:val="00973104"/>
    <w:rsid w:val="00973A03"/>
    <w:rsid w:val="00A72D2E"/>
    <w:rsid w:val="00A911E7"/>
    <w:rsid w:val="00A939D9"/>
    <w:rsid w:val="00B20712"/>
    <w:rsid w:val="00B20DA8"/>
    <w:rsid w:val="00B43238"/>
    <w:rsid w:val="00B75216"/>
    <w:rsid w:val="00B91D52"/>
    <w:rsid w:val="00BA1ACD"/>
    <w:rsid w:val="00BC3F7E"/>
    <w:rsid w:val="00C244A5"/>
    <w:rsid w:val="00C27C1E"/>
    <w:rsid w:val="00CA2961"/>
    <w:rsid w:val="00CA7176"/>
    <w:rsid w:val="00CD2773"/>
    <w:rsid w:val="00CD5899"/>
    <w:rsid w:val="00CE143B"/>
    <w:rsid w:val="00D95ADC"/>
    <w:rsid w:val="00DF2F3E"/>
    <w:rsid w:val="00E167C7"/>
    <w:rsid w:val="00E478E0"/>
    <w:rsid w:val="00EC47F6"/>
    <w:rsid w:val="00EC4ECD"/>
    <w:rsid w:val="00EE1B43"/>
    <w:rsid w:val="00F03667"/>
    <w:rsid w:val="00F0558C"/>
    <w:rsid w:val="00F153EF"/>
    <w:rsid w:val="00F66032"/>
    <w:rsid w:val="00F958C2"/>
    <w:rsid w:val="00FA2B6E"/>
    <w:rsid w:val="21841D1C"/>
    <w:rsid w:val="31BE7CDA"/>
    <w:rsid w:val="378C6CCE"/>
    <w:rsid w:val="635C1B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uiPriority w:val="99"/>
    <w:rPr>
      <w:rFonts w:ascii="Times New Roman" w:hAnsi="Times New Roman"/>
      <w:szCs w:val="24"/>
    </w:rPr>
  </w:style>
  <w:style w:type="paragraph" w:styleId="5">
    <w:name w:val="toc 2"/>
    <w:basedOn w:val="1"/>
    <w:next w:val="1"/>
    <w:uiPriority w:val="99"/>
    <w:pPr>
      <w:ind w:left="420" w:leftChars="200"/>
    </w:pPr>
    <w:rPr>
      <w:rFonts w:ascii="Times New Roman" w:hAnsi="Times New Roman"/>
      <w:szCs w:val="24"/>
    </w:rPr>
  </w:style>
  <w:style w:type="character" w:customStyle="1" w:styleId="8">
    <w:name w:val="Header Char"/>
    <w:basedOn w:val="6"/>
    <w:link w:val="3"/>
    <w:locked/>
    <w:uiPriority w:val="99"/>
    <w:rPr>
      <w:rFonts w:ascii="Times New Roman" w:hAnsi="Times New Roman" w:eastAsia="宋体" w:cs="Times New Roman"/>
      <w:sz w:val="18"/>
      <w:szCs w:val="18"/>
    </w:rPr>
  </w:style>
  <w:style w:type="character" w:customStyle="1" w:styleId="9">
    <w:name w:val="Footer Char"/>
    <w:basedOn w:val="6"/>
    <w:link w:val="2"/>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452</Words>
  <Characters>2578</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lenvov</cp:lastModifiedBy>
  <dcterms:modified xsi:type="dcterms:W3CDTF">2017-11-01T03:26:17Z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